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4595" w14:textId="74E279E2" w:rsidR="002A0333" w:rsidRPr="00BC0926" w:rsidRDefault="00F93601" w:rsidP="00EC7905">
      <w:pPr>
        <w:jc w:val="center"/>
        <w:rPr>
          <w:rFonts w:ascii="Arial" w:hAnsi="Arial" w:cs="Arial"/>
          <w:b/>
          <w:bCs/>
          <w:sz w:val="24"/>
          <w:szCs w:val="24"/>
        </w:rPr>
      </w:pPr>
      <w:r w:rsidRPr="00BC0926">
        <w:rPr>
          <w:rFonts w:ascii="Arial" w:hAnsi="Arial" w:cs="Arial"/>
          <w:b/>
          <w:bCs/>
          <w:sz w:val="24"/>
          <w:szCs w:val="24"/>
        </w:rPr>
        <w:t>Questions from Finance and Performance Panel – 06 September 2023</w:t>
      </w:r>
    </w:p>
    <w:p w14:paraId="1EF257CE" w14:textId="0BDB2510" w:rsidR="001C1B9B" w:rsidRPr="00BC0926" w:rsidRDefault="001C1B9B" w:rsidP="001C1B9B">
      <w:pPr>
        <w:rPr>
          <w:rFonts w:ascii="Arial" w:hAnsi="Arial" w:cs="Arial"/>
          <w:sz w:val="24"/>
          <w:szCs w:val="24"/>
          <w:u w:val="single"/>
        </w:rPr>
      </w:pPr>
      <w:r w:rsidRPr="00BC0926">
        <w:rPr>
          <w:rFonts w:ascii="Arial" w:hAnsi="Arial" w:cs="Arial"/>
          <w:sz w:val="24"/>
          <w:szCs w:val="24"/>
          <w:u w:val="single"/>
        </w:rPr>
        <w:t>Questions relating to the Treasury Management Annual Report 2022/23</w:t>
      </w:r>
    </w:p>
    <w:tbl>
      <w:tblPr>
        <w:tblStyle w:val="TableGrid"/>
        <w:tblW w:w="0" w:type="auto"/>
        <w:tblLook w:val="04A0" w:firstRow="1" w:lastRow="0" w:firstColumn="1" w:lastColumn="0" w:noHBand="0" w:noVBand="1"/>
      </w:tblPr>
      <w:tblGrid>
        <w:gridCol w:w="4508"/>
        <w:gridCol w:w="4508"/>
      </w:tblGrid>
      <w:tr w:rsidR="001C1B9B" w:rsidRPr="00BC0926" w14:paraId="588AA34D" w14:textId="77777777" w:rsidTr="782A0F6C">
        <w:tc>
          <w:tcPr>
            <w:tcW w:w="4508" w:type="dxa"/>
            <w:shd w:val="clear" w:color="auto" w:fill="B4C6E7" w:themeFill="accent1" w:themeFillTint="66"/>
          </w:tcPr>
          <w:p w14:paraId="4DBAEC97" w14:textId="49502BA9" w:rsidR="001C1B9B" w:rsidRPr="00BC0926" w:rsidRDefault="001C1B9B" w:rsidP="001C1B9B">
            <w:pPr>
              <w:rPr>
                <w:rFonts w:ascii="Arial" w:hAnsi="Arial" w:cs="Arial"/>
                <w:b/>
                <w:bCs/>
                <w:sz w:val="24"/>
                <w:szCs w:val="24"/>
              </w:rPr>
            </w:pPr>
            <w:r w:rsidRPr="00BC0926">
              <w:rPr>
                <w:rFonts w:ascii="Arial" w:hAnsi="Arial" w:cs="Arial"/>
                <w:b/>
                <w:bCs/>
                <w:sz w:val="24"/>
                <w:szCs w:val="24"/>
              </w:rPr>
              <w:t>Question</w:t>
            </w:r>
          </w:p>
        </w:tc>
        <w:tc>
          <w:tcPr>
            <w:tcW w:w="4508" w:type="dxa"/>
            <w:shd w:val="clear" w:color="auto" w:fill="B4C6E7" w:themeFill="accent1" w:themeFillTint="66"/>
          </w:tcPr>
          <w:p w14:paraId="17133FFE" w14:textId="3D48BC4A" w:rsidR="001C1B9B" w:rsidRPr="00BC0926" w:rsidRDefault="001C1B9B" w:rsidP="001C1B9B">
            <w:pPr>
              <w:rPr>
                <w:rFonts w:ascii="Arial" w:hAnsi="Arial" w:cs="Arial"/>
                <w:b/>
                <w:bCs/>
                <w:sz w:val="24"/>
                <w:szCs w:val="24"/>
              </w:rPr>
            </w:pPr>
            <w:r w:rsidRPr="00BC0926">
              <w:rPr>
                <w:rFonts w:ascii="Arial" w:hAnsi="Arial" w:cs="Arial"/>
                <w:b/>
                <w:bCs/>
                <w:sz w:val="24"/>
                <w:szCs w:val="24"/>
              </w:rPr>
              <w:t>Written Response</w:t>
            </w:r>
          </w:p>
        </w:tc>
      </w:tr>
      <w:tr w:rsidR="001C1B9B" w:rsidRPr="00BC0926" w14:paraId="3BB21406" w14:textId="77777777" w:rsidTr="782A0F6C">
        <w:tc>
          <w:tcPr>
            <w:tcW w:w="4508" w:type="dxa"/>
          </w:tcPr>
          <w:p w14:paraId="59A7AB5F" w14:textId="02B39324" w:rsidR="001C1B9B" w:rsidRPr="00BC0926" w:rsidRDefault="001C1B9B" w:rsidP="001C1B9B">
            <w:pPr>
              <w:pStyle w:val="ListParagraph"/>
              <w:numPr>
                <w:ilvl w:val="0"/>
                <w:numId w:val="16"/>
              </w:numPr>
              <w:rPr>
                <w:rFonts w:ascii="Arial" w:hAnsi="Arial" w:cs="Arial"/>
                <w:sz w:val="24"/>
                <w:szCs w:val="24"/>
              </w:rPr>
            </w:pPr>
            <w:r w:rsidRPr="00BC0926">
              <w:rPr>
                <w:rFonts w:ascii="Arial" w:hAnsi="Arial" w:cs="Arial"/>
                <w:sz w:val="24"/>
                <w:szCs w:val="24"/>
              </w:rPr>
              <w:t>Paragraph 9, Table 1 - W</w:t>
            </w:r>
            <w:r w:rsidRPr="00BC0926">
              <w:rPr>
                <w:rFonts w:ascii="Arial" w:eastAsia="Times New Roman" w:hAnsi="Arial" w:cs="Arial"/>
                <w:sz w:val="24"/>
                <w:szCs w:val="24"/>
                <w:lang w:eastAsia="en-GB"/>
              </w:rPr>
              <w:t>hy the overspend of £6.3m compared to original budget in relation to financing via revenue?</w:t>
            </w:r>
          </w:p>
        </w:tc>
        <w:tc>
          <w:tcPr>
            <w:tcW w:w="4508" w:type="dxa"/>
          </w:tcPr>
          <w:p w14:paraId="7C8FB1AA" w14:textId="7E7BE7AA" w:rsidR="001C1B9B" w:rsidRPr="00BC0926" w:rsidRDefault="4BA6F3D0" w:rsidP="3FA070B9">
            <w:pPr>
              <w:spacing w:after="160" w:line="257" w:lineRule="auto"/>
              <w:rPr>
                <w:rFonts w:ascii="Arial" w:eastAsia="Arial" w:hAnsi="Arial" w:cs="Arial"/>
                <w:sz w:val="24"/>
                <w:szCs w:val="24"/>
              </w:rPr>
            </w:pPr>
            <w:r w:rsidRPr="3FA070B9">
              <w:rPr>
                <w:rFonts w:ascii="Arial" w:eastAsia="Arial" w:hAnsi="Arial" w:cs="Arial"/>
                <w:sz w:val="24"/>
                <w:szCs w:val="24"/>
              </w:rPr>
              <w:t>The largest variance is in relation to the HRA; £5.2 million was used from the HRA capital projects reserve. This</w:t>
            </w:r>
            <w:r w:rsidR="520D8A34" w:rsidRPr="3FA070B9">
              <w:rPr>
                <w:rFonts w:ascii="Arial" w:eastAsia="Arial" w:hAnsi="Arial" w:cs="Arial"/>
                <w:sz w:val="24"/>
                <w:szCs w:val="24"/>
              </w:rPr>
              <w:t xml:space="preserve"> was</w:t>
            </w:r>
            <w:r w:rsidRPr="3FA070B9">
              <w:rPr>
                <w:rFonts w:ascii="Arial" w:eastAsia="Arial" w:hAnsi="Arial" w:cs="Arial"/>
                <w:sz w:val="24"/>
                <w:szCs w:val="24"/>
              </w:rPr>
              <w:t xml:space="preserve"> reserve holds funding that was not used in previous years for financing capital and which was transferred into this reserve for financing the capital programme in future years.</w:t>
            </w:r>
          </w:p>
          <w:p w14:paraId="106632A8" w14:textId="73EA37CA" w:rsidR="001C1B9B" w:rsidRPr="00BC0926" w:rsidRDefault="4BA6F3D0" w:rsidP="4CE6BC02">
            <w:pPr>
              <w:rPr>
                <w:rFonts w:ascii="Arial" w:eastAsia="Arial" w:hAnsi="Arial" w:cs="Arial"/>
                <w:sz w:val="24"/>
                <w:szCs w:val="24"/>
              </w:rPr>
            </w:pPr>
            <w:r w:rsidRPr="3FA070B9">
              <w:rPr>
                <w:rFonts w:ascii="Arial" w:eastAsia="Arial" w:hAnsi="Arial" w:cs="Arial"/>
                <w:sz w:val="24"/>
                <w:szCs w:val="24"/>
              </w:rPr>
              <w:t>There was also additional financing for the Housing System Replacement project from the General Fund Capital Financing Reserve.</w:t>
            </w:r>
          </w:p>
        </w:tc>
      </w:tr>
      <w:tr w:rsidR="001C1B9B" w:rsidRPr="00BC0926" w14:paraId="7CDEC9E3" w14:textId="77777777" w:rsidTr="782A0F6C">
        <w:tc>
          <w:tcPr>
            <w:tcW w:w="4508" w:type="dxa"/>
          </w:tcPr>
          <w:p w14:paraId="39B6FE7A" w14:textId="19338283" w:rsidR="001C1B9B" w:rsidRPr="00BC0926" w:rsidRDefault="001C1B9B" w:rsidP="001C1B9B">
            <w:pPr>
              <w:numPr>
                <w:ilvl w:val="0"/>
                <w:numId w:val="16"/>
              </w:numPr>
              <w:textAlignment w:val="center"/>
              <w:rPr>
                <w:rFonts w:ascii="Arial" w:eastAsia="Times New Roman" w:hAnsi="Arial" w:cs="Arial"/>
                <w:sz w:val="24"/>
                <w:szCs w:val="24"/>
                <w:lang w:eastAsia="en-GB"/>
              </w:rPr>
            </w:pPr>
            <w:r w:rsidRPr="00BC0926">
              <w:rPr>
                <w:rFonts w:ascii="Arial" w:eastAsia="Times New Roman" w:hAnsi="Arial" w:cs="Arial"/>
                <w:sz w:val="24"/>
                <w:szCs w:val="24"/>
                <w:lang w:eastAsia="en-GB"/>
              </w:rPr>
              <w:t>Capital Budget &amp; Spending - Why is there a big jump in QL exploitation and new laptops?</w:t>
            </w:r>
          </w:p>
        </w:tc>
        <w:tc>
          <w:tcPr>
            <w:tcW w:w="4508" w:type="dxa"/>
          </w:tcPr>
          <w:p w14:paraId="139EC54F" w14:textId="6AF2D7EB" w:rsidR="001C1B9B" w:rsidRPr="00BC0926" w:rsidRDefault="21E8D5D0" w:rsidP="2CA5FEDC">
            <w:pPr>
              <w:rPr>
                <w:rFonts w:ascii="Arial" w:hAnsi="Arial" w:cs="Arial"/>
                <w:b/>
                <w:bCs/>
                <w:sz w:val="24"/>
                <w:szCs w:val="24"/>
                <w:highlight w:val="yellow"/>
              </w:rPr>
            </w:pPr>
            <w:r w:rsidRPr="2CA5FEDC">
              <w:rPr>
                <w:rFonts w:ascii="Arial" w:hAnsi="Arial" w:cs="Arial"/>
                <w:sz w:val="24"/>
                <w:szCs w:val="24"/>
              </w:rPr>
              <w:t xml:space="preserve">QL budgets </w:t>
            </w:r>
            <w:r w:rsidR="2D309C90" w:rsidRPr="2CA5FEDC">
              <w:rPr>
                <w:rFonts w:ascii="Arial" w:hAnsi="Arial" w:cs="Arial"/>
                <w:sz w:val="24"/>
                <w:szCs w:val="24"/>
              </w:rPr>
              <w:t xml:space="preserve">from </w:t>
            </w:r>
            <w:r w:rsidR="082B788A" w:rsidRPr="2CA5FEDC">
              <w:rPr>
                <w:rFonts w:ascii="Arial" w:hAnsi="Arial" w:cs="Arial"/>
                <w:sz w:val="24"/>
                <w:szCs w:val="24"/>
              </w:rPr>
              <w:t>G</w:t>
            </w:r>
            <w:r w:rsidR="787FAA81" w:rsidRPr="2CA5FEDC">
              <w:rPr>
                <w:rFonts w:ascii="Arial" w:hAnsi="Arial" w:cs="Arial"/>
                <w:sz w:val="24"/>
                <w:szCs w:val="24"/>
              </w:rPr>
              <w:t xml:space="preserve">eneral </w:t>
            </w:r>
            <w:r w:rsidR="082B788A" w:rsidRPr="2CA5FEDC">
              <w:rPr>
                <w:rFonts w:ascii="Arial" w:hAnsi="Arial" w:cs="Arial"/>
                <w:sz w:val="24"/>
                <w:szCs w:val="24"/>
              </w:rPr>
              <w:t>F</w:t>
            </w:r>
            <w:r w:rsidR="52C40490" w:rsidRPr="2CA5FEDC">
              <w:rPr>
                <w:rFonts w:ascii="Arial" w:hAnsi="Arial" w:cs="Arial"/>
                <w:sz w:val="24"/>
                <w:szCs w:val="24"/>
              </w:rPr>
              <w:t>und</w:t>
            </w:r>
            <w:r w:rsidR="082B788A" w:rsidRPr="2CA5FEDC">
              <w:rPr>
                <w:rFonts w:ascii="Arial" w:hAnsi="Arial" w:cs="Arial"/>
                <w:sz w:val="24"/>
                <w:szCs w:val="24"/>
              </w:rPr>
              <w:t xml:space="preserve"> and H</w:t>
            </w:r>
            <w:r w:rsidR="275299A8" w:rsidRPr="2CA5FEDC">
              <w:rPr>
                <w:rFonts w:ascii="Arial" w:hAnsi="Arial" w:cs="Arial"/>
                <w:sz w:val="24"/>
                <w:szCs w:val="24"/>
              </w:rPr>
              <w:t xml:space="preserve">ousing </w:t>
            </w:r>
            <w:r w:rsidR="082B788A" w:rsidRPr="2CA5FEDC">
              <w:rPr>
                <w:rFonts w:ascii="Arial" w:hAnsi="Arial" w:cs="Arial"/>
                <w:sz w:val="24"/>
                <w:szCs w:val="24"/>
              </w:rPr>
              <w:t>R</w:t>
            </w:r>
            <w:r w:rsidR="3A78DC41" w:rsidRPr="2CA5FEDC">
              <w:rPr>
                <w:rFonts w:ascii="Arial" w:hAnsi="Arial" w:cs="Arial"/>
                <w:sz w:val="24"/>
                <w:szCs w:val="24"/>
              </w:rPr>
              <w:t xml:space="preserve">evenue </w:t>
            </w:r>
            <w:r w:rsidR="082B788A" w:rsidRPr="2CA5FEDC">
              <w:rPr>
                <w:rFonts w:ascii="Arial" w:hAnsi="Arial" w:cs="Arial"/>
                <w:sz w:val="24"/>
                <w:szCs w:val="24"/>
              </w:rPr>
              <w:t>A</w:t>
            </w:r>
            <w:r w:rsidR="5E865966" w:rsidRPr="2CA5FEDC">
              <w:rPr>
                <w:rFonts w:ascii="Arial" w:hAnsi="Arial" w:cs="Arial"/>
                <w:sz w:val="24"/>
                <w:szCs w:val="24"/>
              </w:rPr>
              <w:t>ccount</w:t>
            </w:r>
            <w:r w:rsidR="082B788A" w:rsidRPr="2CA5FEDC">
              <w:rPr>
                <w:rFonts w:ascii="Arial" w:hAnsi="Arial" w:cs="Arial"/>
                <w:sz w:val="24"/>
                <w:szCs w:val="24"/>
              </w:rPr>
              <w:t xml:space="preserve"> </w:t>
            </w:r>
            <w:r w:rsidRPr="2CA5FEDC">
              <w:rPr>
                <w:rFonts w:ascii="Arial" w:hAnsi="Arial" w:cs="Arial"/>
                <w:sz w:val="24"/>
                <w:szCs w:val="24"/>
              </w:rPr>
              <w:t>have been combined together</w:t>
            </w:r>
            <w:r w:rsidR="04E79EFE" w:rsidRPr="2CA5FEDC">
              <w:rPr>
                <w:rFonts w:ascii="Arial" w:hAnsi="Arial" w:cs="Arial"/>
                <w:sz w:val="24"/>
                <w:szCs w:val="24"/>
              </w:rPr>
              <w:t xml:space="preserve"> therefore looking like a large increase.  </w:t>
            </w:r>
          </w:p>
          <w:p w14:paraId="3C4D4F0F" w14:textId="4C10BAD8" w:rsidR="001C1B9B" w:rsidRPr="00BC0926" w:rsidRDefault="04E79EFE" w:rsidP="2CA5FEDC">
            <w:pPr>
              <w:rPr>
                <w:rFonts w:ascii="Arial" w:hAnsi="Arial" w:cs="Arial"/>
                <w:sz w:val="24"/>
                <w:szCs w:val="24"/>
              </w:rPr>
            </w:pPr>
            <w:r w:rsidRPr="73206D09">
              <w:rPr>
                <w:rFonts w:ascii="Arial" w:hAnsi="Arial" w:cs="Arial"/>
                <w:sz w:val="24"/>
                <w:szCs w:val="24"/>
              </w:rPr>
              <w:t>The laptop budget has increased as the underspend from the previous year has been rolled into the current year budget</w:t>
            </w:r>
            <w:r w:rsidR="0CDEA5DC" w:rsidRPr="73206D09">
              <w:rPr>
                <w:rFonts w:ascii="Arial" w:hAnsi="Arial" w:cs="Arial"/>
                <w:sz w:val="24"/>
                <w:szCs w:val="24"/>
              </w:rPr>
              <w:t>.</w:t>
            </w:r>
          </w:p>
        </w:tc>
      </w:tr>
      <w:tr w:rsidR="001C1B9B" w:rsidRPr="00BC0926" w14:paraId="31EF2B69" w14:textId="77777777" w:rsidTr="782A0F6C">
        <w:tc>
          <w:tcPr>
            <w:tcW w:w="4508" w:type="dxa"/>
          </w:tcPr>
          <w:p w14:paraId="276BA3C1" w14:textId="27E8B046" w:rsidR="001C1B9B" w:rsidRPr="00BC0926" w:rsidRDefault="001C1B9B" w:rsidP="001C1B9B">
            <w:pPr>
              <w:numPr>
                <w:ilvl w:val="0"/>
                <w:numId w:val="16"/>
              </w:numPr>
              <w:textAlignment w:val="center"/>
              <w:rPr>
                <w:rFonts w:ascii="Arial" w:eastAsia="Times New Roman" w:hAnsi="Arial" w:cs="Arial"/>
                <w:sz w:val="24"/>
                <w:szCs w:val="24"/>
                <w:lang w:eastAsia="en-GB"/>
              </w:rPr>
            </w:pPr>
            <w:r w:rsidRPr="00BC0926">
              <w:rPr>
                <w:rFonts w:ascii="Arial" w:eastAsia="Times New Roman" w:hAnsi="Arial" w:cs="Arial"/>
                <w:sz w:val="24"/>
                <w:szCs w:val="24"/>
                <w:lang w:eastAsia="en-GB"/>
              </w:rPr>
              <w:t>Has modelling been done to understand the impact on the Council if rapid increases in Bank of England interest rates lead to a recession; and contingencies put in place in case?</w:t>
            </w:r>
          </w:p>
        </w:tc>
        <w:tc>
          <w:tcPr>
            <w:tcW w:w="4508" w:type="dxa"/>
          </w:tcPr>
          <w:p w14:paraId="6775EC17" w14:textId="17D44574" w:rsidR="001C1B9B" w:rsidRPr="00BC0926" w:rsidRDefault="36070DE0" w:rsidP="782A0F6C">
            <w:pPr>
              <w:rPr>
                <w:rFonts w:ascii="Arial" w:hAnsi="Arial" w:cs="Arial"/>
                <w:sz w:val="24"/>
                <w:szCs w:val="24"/>
              </w:rPr>
            </w:pPr>
            <w:r w:rsidRPr="782A0F6C">
              <w:rPr>
                <w:rFonts w:ascii="Arial" w:hAnsi="Arial" w:cs="Arial"/>
                <w:sz w:val="24"/>
                <w:szCs w:val="24"/>
              </w:rPr>
              <w:t>In setting the Medium Term Financial Plan in Febru</w:t>
            </w:r>
            <w:r w:rsidR="24CEA9C4" w:rsidRPr="782A0F6C">
              <w:rPr>
                <w:rFonts w:ascii="Arial" w:hAnsi="Arial" w:cs="Arial"/>
                <w:sz w:val="24"/>
                <w:szCs w:val="24"/>
              </w:rPr>
              <w:t>a</w:t>
            </w:r>
            <w:r w:rsidRPr="782A0F6C">
              <w:rPr>
                <w:rFonts w:ascii="Arial" w:hAnsi="Arial" w:cs="Arial"/>
                <w:sz w:val="24"/>
                <w:szCs w:val="24"/>
              </w:rPr>
              <w:t>ry the Council makes assumption</w:t>
            </w:r>
            <w:r w:rsidR="6E455CAD" w:rsidRPr="782A0F6C">
              <w:rPr>
                <w:rFonts w:ascii="Arial" w:hAnsi="Arial" w:cs="Arial"/>
                <w:sz w:val="24"/>
                <w:szCs w:val="24"/>
              </w:rPr>
              <w:t xml:space="preserve">s around bank base rates, inflation etc. We take advice from external advisors, the Link Group </w:t>
            </w:r>
            <w:r w:rsidR="20A14739" w:rsidRPr="782A0F6C">
              <w:rPr>
                <w:rFonts w:ascii="Arial" w:hAnsi="Arial" w:cs="Arial"/>
                <w:sz w:val="24"/>
                <w:szCs w:val="24"/>
              </w:rPr>
              <w:t>in doing this.</w:t>
            </w:r>
            <w:r w:rsidR="5893FE42" w:rsidRPr="782A0F6C">
              <w:rPr>
                <w:rFonts w:ascii="Arial" w:hAnsi="Arial" w:cs="Arial"/>
                <w:sz w:val="24"/>
                <w:szCs w:val="24"/>
              </w:rPr>
              <w:t xml:space="preserve"> There was an exp</w:t>
            </w:r>
            <w:r w:rsidR="71F5BD74" w:rsidRPr="782A0F6C">
              <w:rPr>
                <w:rFonts w:ascii="Arial" w:hAnsi="Arial" w:cs="Arial"/>
                <w:sz w:val="24"/>
                <w:szCs w:val="24"/>
              </w:rPr>
              <w:t>e</w:t>
            </w:r>
            <w:r w:rsidR="5893FE42" w:rsidRPr="782A0F6C">
              <w:rPr>
                <w:rFonts w:ascii="Arial" w:hAnsi="Arial" w:cs="Arial"/>
                <w:sz w:val="24"/>
                <w:szCs w:val="24"/>
              </w:rPr>
              <w:t>ctation that bank base rates would continue to increase befo</w:t>
            </w:r>
            <w:r w:rsidR="44FF3567" w:rsidRPr="782A0F6C">
              <w:rPr>
                <w:rFonts w:ascii="Arial" w:hAnsi="Arial" w:cs="Arial"/>
                <w:sz w:val="24"/>
                <w:szCs w:val="24"/>
              </w:rPr>
              <w:t>r</w:t>
            </w:r>
            <w:r w:rsidR="5893FE42" w:rsidRPr="782A0F6C">
              <w:rPr>
                <w:rFonts w:ascii="Arial" w:hAnsi="Arial" w:cs="Arial"/>
                <w:sz w:val="24"/>
                <w:szCs w:val="24"/>
              </w:rPr>
              <w:t>e falling back in future years and therefore to some degree</w:t>
            </w:r>
            <w:r w:rsidR="1AE78CC9" w:rsidRPr="782A0F6C">
              <w:rPr>
                <w:rFonts w:ascii="Arial" w:hAnsi="Arial" w:cs="Arial"/>
                <w:sz w:val="24"/>
                <w:szCs w:val="24"/>
              </w:rPr>
              <w:t xml:space="preserve"> these increases have been factored in. The recent decision by the </w:t>
            </w:r>
            <w:r w:rsidR="74A816CE" w:rsidRPr="782A0F6C">
              <w:rPr>
                <w:rFonts w:ascii="Arial" w:hAnsi="Arial" w:cs="Arial"/>
                <w:sz w:val="24"/>
                <w:szCs w:val="24"/>
              </w:rPr>
              <w:t>Monetary Policy Committee (</w:t>
            </w:r>
            <w:r w:rsidR="1AE78CC9" w:rsidRPr="782A0F6C">
              <w:rPr>
                <w:rFonts w:ascii="Arial" w:hAnsi="Arial" w:cs="Arial"/>
                <w:sz w:val="24"/>
                <w:szCs w:val="24"/>
              </w:rPr>
              <w:t>MPC</w:t>
            </w:r>
            <w:r w:rsidR="06AC6B79" w:rsidRPr="782A0F6C">
              <w:rPr>
                <w:rFonts w:ascii="Arial" w:hAnsi="Arial" w:cs="Arial"/>
                <w:sz w:val="24"/>
                <w:szCs w:val="24"/>
              </w:rPr>
              <w:t>)</w:t>
            </w:r>
            <w:r w:rsidR="1AE78CC9" w:rsidRPr="782A0F6C">
              <w:rPr>
                <w:rFonts w:ascii="Arial" w:hAnsi="Arial" w:cs="Arial"/>
                <w:sz w:val="24"/>
                <w:szCs w:val="24"/>
              </w:rPr>
              <w:t xml:space="preserve"> is welcome</w:t>
            </w:r>
            <w:r w:rsidR="07D4D604" w:rsidRPr="782A0F6C">
              <w:rPr>
                <w:rFonts w:ascii="Arial" w:hAnsi="Arial" w:cs="Arial"/>
                <w:sz w:val="24"/>
                <w:szCs w:val="24"/>
              </w:rPr>
              <w:t xml:space="preserve">. </w:t>
            </w:r>
            <w:r w:rsidR="3BE26966" w:rsidRPr="782A0F6C">
              <w:rPr>
                <w:rFonts w:ascii="Arial" w:hAnsi="Arial" w:cs="Arial"/>
                <w:sz w:val="24"/>
                <w:szCs w:val="24"/>
              </w:rPr>
              <w:t xml:space="preserve">The increase in interest rates has a positive effect on the </w:t>
            </w:r>
            <w:r w:rsidR="47B18EC1" w:rsidRPr="782A0F6C">
              <w:rPr>
                <w:rFonts w:ascii="Arial" w:hAnsi="Arial" w:cs="Arial"/>
                <w:sz w:val="24"/>
                <w:szCs w:val="24"/>
              </w:rPr>
              <w:t>C</w:t>
            </w:r>
            <w:r w:rsidR="3BE26966" w:rsidRPr="782A0F6C">
              <w:rPr>
                <w:rFonts w:ascii="Arial" w:hAnsi="Arial" w:cs="Arial"/>
                <w:sz w:val="24"/>
                <w:szCs w:val="24"/>
              </w:rPr>
              <w:t xml:space="preserve">ouncil in terms of increased interest that we earn on our investments. </w:t>
            </w:r>
            <w:r w:rsidR="68A320D8" w:rsidRPr="782A0F6C">
              <w:rPr>
                <w:rFonts w:ascii="Arial" w:hAnsi="Arial" w:cs="Arial"/>
                <w:sz w:val="24"/>
                <w:szCs w:val="24"/>
              </w:rPr>
              <w:t>We are not current</w:t>
            </w:r>
            <w:r w:rsidR="09AE72C8" w:rsidRPr="782A0F6C">
              <w:rPr>
                <w:rFonts w:ascii="Arial" w:hAnsi="Arial" w:cs="Arial"/>
                <w:sz w:val="24"/>
                <w:szCs w:val="24"/>
              </w:rPr>
              <w:t>l</w:t>
            </w:r>
            <w:r w:rsidR="68A320D8" w:rsidRPr="782A0F6C">
              <w:rPr>
                <w:rFonts w:ascii="Arial" w:hAnsi="Arial" w:cs="Arial"/>
                <w:sz w:val="24"/>
                <w:szCs w:val="24"/>
              </w:rPr>
              <w:t>y borrowing externally to finance our capital programme</w:t>
            </w:r>
            <w:r w:rsidR="6E668556" w:rsidRPr="782A0F6C">
              <w:rPr>
                <w:rFonts w:ascii="Arial" w:hAnsi="Arial" w:cs="Arial"/>
                <w:sz w:val="24"/>
                <w:szCs w:val="24"/>
              </w:rPr>
              <w:t xml:space="preserve"> although this will change in the longer term</w:t>
            </w:r>
            <w:r w:rsidR="68A320D8" w:rsidRPr="782A0F6C">
              <w:rPr>
                <w:rFonts w:ascii="Arial" w:hAnsi="Arial" w:cs="Arial"/>
                <w:sz w:val="24"/>
                <w:szCs w:val="24"/>
              </w:rPr>
              <w:t xml:space="preserve">. </w:t>
            </w:r>
            <w:r w:rsidR="3BE26966" w:rsidRPr="782A0F6C">
              <w:rPr>
                <w:rFonts w:ascii="Arial" w:hAnsi="Arial" w:cs="Arial"/>
                <w:sz w:val="24"/>
                <w:szCs w:val="24"/>
              </w:rPr>
              <w:t>The negative impact</w:t>
            </w:r>
            <w:r w:rsidR="20FCFA0F" w:rsidRPr="782A0F6C">
              <w:rPr>
                <w:rFonts w:ascii="Arial" w:hAnsi="Arial" w:cs="Arial"/>
                <w:sz w:val="24"/>
                <w:szCs w:val="24"/>
              </w:rPr>
              <w:t xml:space="preserve"> of increasing interest rates is felt by OX</w:t>
            </w:r>
            <w:r w:rsidR="7399B4B3" w:rsidRPr="782A0F6C">
              <w:rPr>
                <w:rFonts w:ascii="Arial" w:hAnsi="Arial" w:cs="Arial"/>
                <w:sz w:val="24"/>
                <w:szCs w:val="24"/>
              </w:rPr>
              <w:t xml:space="preserve"> </w:t>
            </w:r>
            <w:r w:rsidR="20FCFA0F" w:rsidRPr="782A0F6C">
              <w:rPr>
                <w:rFonts w:ascii="Arial" w:hAnsi="Arial" w:cs="Arial"/>
                <w:sz w:val="24"/>
                <w:szCs w:val="24"/>
              </w:rPr>
              <w:t xml:space="preserve">Place in the form of increased loan rates and also our business and council </w:t>
            </w:r>
            <w:r w:rsidR="1881D2DB" w:rsidRPr="782A0F6C">
              <w:rPr>
                <w:rFonts w:ascii="Arial" w:hAnsi="Arial" w:cs="Arial"/>
                <w:sz w:val="24"/>
                <w:szCs w:val="24"/>
              </w:rPr>
              <w:t>tax payers</w:t>
            </w:r>
            <w:r w:rsidR="6900E560" w:rsidRPr="782A0F6C">
              <w:rPr>
                <w:rFonts w:ascii="Arial" w:hAnsi="Arial" w:cs="Arial"/>
                <w:sz w:val="24"/>
                <w:szCs w:val="24"/>
              </w:rPr>
              <w:t>,</w:t>
            </w:r>
            <w:r w:rsidR="20FCFA0F" w:rsidRPr="782A0F6C">
              <w:rPr>
                <w:rFonts w:ascii="Arial" w:hAnsi="Arial" w:cs="Arial"/>
                <w:sz w:val="24"/>
                <w:szCs w:val="24"/>
              </w:rPr>
              <w:t xml:space="preserve"> </w:t>
            </w:r>
            <w:r w:rsidR="65844382" w:rsidRPr="782A0F6C">
              <w:rPr>
                <w:rFonts w:ascii="Arial" w:hAnsi="Arial" w:cs="Arial"/>
                <w:sz w:val="24"/>
                <w:szCs w:val="24"/>
              </w:rPr>
              <w:t>in their abil</w:t>
            </w:r>
            <w:r w:rsidR="2A5C002F" w:rsidRPr="782A0F6C">
              <w:rPr>
                <w:rFonts w:ascii="Arial" w:hAnsi="Arial" w:cs="Arial"/>
                <w:sz w:val="24"/>
                <w:szCs w:val="24"/>
              </w:rPr>
              <w:t>i</w:t>
            </w:r>
            <w:r w:rsidR="65844382" w:rsidRPr="782A0F6C">
              <w:rPr>
                <w:rFonts w:ascii="Arial" w:hAnsi="Arial" w:cs="Arial"/>
                <w:sz w:val="24"/>
                <w:szCs w:val="24"/>
              </w:rPr>
              <w:t xml:space="preserve">ty to pay outstanding liabilities. </w:t>
            </w:r>
            <w:r w:rsidR="07D4D604" w:rsidRPr="782A0F6C">
              <w:rPr>
                <w:rFonts w:ascii="Arial" w:hAnsi="Arial" w:cs="Arial"/>
                <w:sz w:val="24"/>
                <w:szCs w:val="24"/>
              </w:rPr>
              <w:t xml:space="preserve">The Council does have some contingencies </w:t>
            </w:r>
            <w:r w:rsidR="1F14396F" w:rsidRPr="782A0F6C">
              <w:rPr>
                <w:rFonts w:ascii="Arial" w:hAnsi="Arial" w:cs="Arial"/>
                <w:sz w:val="24"/>
                <w:szCs w:val="24"/>
              </w:rPr>
              <w:t xml:space="preserve">and balances </w:t>
            </w:r>
            <w:r w:rsidR="07D4D604" w:rsidRPr="782A0F6C">
              <w:rPr>
                <w:rFonts w:ascii="Arial" w:hAnsi="Arial" w:cs="Arial"/>
                <w:sz w:val="24"/>
                <w:szCs w:val="24"/>
              </w:rPr>
              <w:lastRenderedPageBreak/>
              <w:t xml:space="preserve">to </w:t>
            </w:r>
            <w:r w:rsidR="64EC7631" w:rsidRPr="782A0F6C">
              <w:rPr>
                <w:rFonts w:ascii="Arial" w:hAnsi="Arial" w:cs="Arial"/>
                <w:sz w:val="24"/>
                <w:szCs w:val="24"/>
              </w:rPr>
              <w:t xml:space="preserve">smooth </w:t>
            </w:r>
            <w:r w:rsidR="07D4D604" w:rsidRPr="782A0F6C">
              <w:rPr>
                <w:rFonts w:ascii="Arial" w:hAnsi="Arial" w:cs="Arial"/>
                <w:sz w:val="24"/>
                <w:szCs w:val="24"/>
              </w:rPr>
              <w:t>out</w:t>
            </w:r>
            <w:r w:rsidR="5C8FF6CD" w:rsidRPr="782A0F6C">
              <w:rPr>
                <w:rFonts w:ascii="Arial" w:hAnsi="Arial" w:cs="Arial"/>
                <w:sz w:val="24"/>
                <w:szCs w:val="24"/>
              </w:rPr>
              <w:t xml:space="preserve"> variations in interest rates</w:t>
            </w:r>
            <w:r w:rsidR="7695D73F" w:rsidRPr="782A0F6C">
              <w:rPr>
                <w:rFonts w:ascii="Arial" w:hAnsi="Arial" w:cs="Arial"/>
                <w:sz w:val="24"/>
                <w:szCs w:val="24"/>
              </w:rPr>
              <w:t xml:space="preserve"> against our </w:t>
            </w:r>
            <w:r w:rsidR="78CEC913" w:rsidRPr="782A0F6C">
              <w:rPr>
                <w:rFonts w:ascii="Arial" w:hAnsi="Arial" w:cs="Arial"/>
                <w:sz w:val="24"/>
                <w:szCs w:val="24"/>
              </w:rPr>
              <w:t>assumptions,</w:t>
            </w:r>
            <w:r w:rsidR="7695D73F" w:rsidRPr="782A0F6C">
              <w:rPr>
                <w:rFonts w:ascii="Arial" w:hAnsi="Arial" w:cs="Arial"/>
                <w:sz w:val="24"/>
                <w:szCs w:val="24"/>
              </w:rPr>
              <w:t xml:space="preserve"> but these are reducing and the </w:t>
            </w:r>
            <w:r w:rsidR="63E0A74C" w:rsidRPr="782A0F6C">
              <w:rPr>
                <w:rFonts w:ascii="Arial" w:hAnsi="Arial" w:cs="Arial"/>
                <w:sz w:val="24"/>
                <w:szCs w:val="24"/>
              </w:rPr>
              <w:t>ability</w:t>
            </w:r>
            <w:r w:rsidR="7695D73F" w:rsidRPr="782A0F6C">
              <w:rPr>
                <w:rFonts w:ascii="Arial" w:hAnsi="Arial" w:cs="Arial"/>
                <w:sz w:val="24"/>
                <w:szCs w:val="24"/>
              </w:rPr>
              <w:t xml:space="preserve"> to rely on these as </w:t>
            </w:r>
            <w:r w:rsidR="639B82E2" w:rsidRPr="782A0F6C">
              <w:rPr>
                <w:rFonts w:ascii="Arial" w:hAnsi="Arial" w:cs="Arial"/>
                <w:sz w:val="24"/>
                <w:szCs w:val="24"/>
              </w:rPr>
              <w:t>opposed to making in</w:t>
            </w:r>
            <w:r w:rsidR="609B6975" w:rsidRPr="782A0F6C">
              <w:rPr>
                <w:rFonts w:ascii="Arial" w:hAnsi="Arial" w:cs="Arial"/>
                <w:sz w:val="24"/>
                <w:szCs w:val="24"/>
              </w:rPr>
              <w:t>-</w:t>
            </w:r>
            <w:r w:rsidR="639B82E2" w:rsidRPr="782A0F6C">
              <w:rPr>
                <w:rFonts w:ascii="Arial" w:hAnsi="Arial" w:cs="Arial"/>
                <w:sz w:val="24"/>
                <w:szCs w:val="24"/>
              </w:rPr>
              <w:t>year budget adjustments is limited.</w:t>
            </w:r>
            <w:r w:rsidR="5C8FF6CD" w:rsidRPr="782A0F6C">
              <w:rPr>
                <w:rFonts w:ascii="Arial" w:hAnsi="Arial" w:cs="Arial"/>
                <w:sz w:val="24"/>
                <w:szCs w:val="24"/>
              </w:rPr>
              <w:t xml:space="preserve"> </w:t>
            </w:r>
            <w:r w:rsidR="07D4D604" w:rsidRPr="782A0F6C">
              <w:rPr>
                <w:rFonts w:ascii="Arial" w:hAnsi="Arial" w:cs="Arial"/>
                <w:sz w:val="24"/>
                <w:szCs w:val="24"/>
              </w:rPr>
              <w:t xml:space="preserve"> </w:t>
            </w:r>
          </w:p>
        </w:tc>
      </w:tr>
      <w:tr w:rsidR="001C1B9B" w:rsidRPr="00BC0926" w14:paraId="02C2F684" w14:textId="77777777" w:rsidTr="001510D0">
        <w:tc>
          <w:tcPr>
            <w:tcW w:w="4508" w:type="dxa"/>
          </w:tcPr>
          <w:p w14:paraId="692F8574" w14:textId="68143BDD" w:rsidR="001C1B9B" w:rsidRPr="001510D0" w:rsidRDefault="001510D0" w:rsidP="001C1B9B">
            <w:pPr>
              <w:numPr>
                <w:ilvl w:val="0"/>
                <w:numId w:val="16"/>
              </w:numPr>
              <w:textAlignment w:val="center"/>
              <w:rPr>
                <w:rFonts w:ascii="Arial" w:eastAsia="Times New Roman" w:hAnsi="Arial" w:cs="Arial"/>
                <w:i/>
                <w:iCs/>
                <w:sz w:val="24"/>
                <w:szCs w:val="24"/>
                <w:lang w:eastAsia="en-GB"/>
              </w:rPr>
            </w:pPr>
            <w:r w:rsidRPr="001510D0">
              <w:rPr>
                <w:rFonts w:ascii="Arial" w:eastAsia="Times New Roman" w:hAnsi="Arial" w:cs="Arial"/>
                <w:i/>
                <w:iCs/>
                <w:sz w:val="24"/>
                <w:szCs w:val="24"/>
                <w:lang w:eastAsia="en-GB"/>
              </w:rPr>
              <w:lastRenderedPageBreak/>
              <w:t>Th</w:t>
            </w:r>
            <w:r>
              <w:rPr>
                <w:rFonts w:ascii="Arial" w:eastAsia="Times New Roman" w:hAnsi="Arial" w:cs="Arial"/>
                <w:i/>
                <w:iCs/>
                <w:sz w:val="24"/>
                <w:szCs w:val="24"/>
                <w:lang w:eastAsia="en-GB"/>
              </w:rPr>
              <w:t>is</w:t>
            </w:r>
            <w:r w:rsidRPr="001510D0">
              <w:rPr>
                <w:rFonts w:ascii="Arial" w:eastAsia="Times New Roman" w:hAnsi="Arial" w:cs="Arial"/>
                <w:i/>
                <w:iCs/>
                <w:sz w:val="24"/>
                <w:szCs w:val="24"/>
                <w:lang w:eastAsia="en-GB"/>
              </w:rPr>
              <w:t xml:space="preserve"> question and response are exempt from publication </w:t>
            </w:r>
            <w:r w:rsidRPr="001510D0">
              <w:rPr>
                <w:rFonts w:ascii="Arial" w:hAnsi="Arial" w:cs="Arial"/>
                <w:i/>
                <w:iCs/>
                <w:sz w:val="24"/>
                <w:szCs w:val="24"/>
              </w:rPr>
              <w:t>pursuant to Paragraph 3 of Part 1 of Schedule 12A of the Local Government Act 1972.</w:t>
            </w:r>
          </w:p>
          <w:p w14:paraId="3A91436D" w14:textId="0D34F4BC" w:rsidR="001C1B9B" w:rsidRPr="00BC0926" w:rsidRDefault="001C1B9B" w:rsidP="001510D0">
            <w:pPr>
              <w:textAlignment w:val="center"/>
              <w:rPr>
                <w:rFonts w:ascii="Arial" w:eastAsia="Times New Roman" w:hAnsi="Arial" w:cs="Arial"/>
                <w:b/>
                <w:bCs/>
                <w:i/>
                <w:iCs/>
                <w:sz w:val="24"/>
                <w:szCs w:val="24"/>
                <w:lang w:eastAsia="en-GB"/>
              </w:rPr>
            </w:pPr>
          </w:p>
        </w:tc>
        <w:tc>
          <w:tcPr>
            <w:tcW w:w="4508" w:type="dxa"/>
            <w:shd w:val="clear" w:color="auto" w:fill="D9D9D9" w:themeFill="background1" w:themeFillShade="D9"/>
          </w:tcPr>
          <w:p w14:paraId="71D490C6" w14:textId="26159A51" w:rsidR="001C1B9B" w:rsidRPr="00BC0926" w:rsidRDefault="001C1B9B" w:rsidP="4CE6BC02">
            <w:pPr>
              <w:rPr>
                <w:rFonts w:ascii="Arial" w:eastAsia="Arial" w:hAnsi="Arial" w:cs="Arial"/>
                <w:sz w:val="24"/>
                <w:szCs w:val="24"/>
              </w:rPr>
            </w:pPr>
          </w:p>
        </w:tc>
      </w:tr>
      <w:tr w:rsidR="003D6A92" w:rsidRPr="00BC0926" w14:paraId="33A2F5D7" w14:textId="77777777" w:rsidTr="782A0F6C">
        <w:tc>
          <w:tcPr>
            <w:tcW w:w="4508" w:type="dxa"/>
          </w:tcPr>
          <w:p w14:paraId="76F8F57E" w14:textId="3F0CFC59" w:rsidR="003D6A92" w:rsidRPr="00BC0926" w:rsidRDefault="611872AD" w:rsidP="001C1B9B">
            <w:pPr>
              <w:numPr>
                <w:ilvl w:val="0"/>
                <w:numId w:val="16"/>
              </w:numPr>
              <w:textAlignment w:val="center"/>
              <w:rPr>
                <w:rFonts w:ascii="Arial" w:eastAsia="Times New Roman" w:hAnsi="Arial" w:cs="Arial"/>
                <w:sz w:val="24"/>
                <w:szCs w:val="24"/>
                <w:lang w:eastAsia="en-GB"/>
              </w:rPr>
            </w:pPr>
            <w:r w:rsidRPr="782A0F6C">
              <w:rPr>
                <w:rFonts w:ascii="Arial" w:eastAsia="Times New Roman" w:hAnsi="Arial" w:cs="Arial"/>
                <w:sz w:val="24"/>
                <w:szCs w:val="24"/>
                <w:lang w:eastAsia="en-GB"/>
              </w:rPr>
              <w:t>What is the magnitude of the Council’s direct property investments versus its investments in Property Funds? Response to also include information on valuation return and context re: sector and empty premises please.</w:t>
            </w:r>
          </w:p>
        </w:tc>
        <w:tc>
          <w:tcPr>
            <w:tcW w:w="4508" w:type="dxa"/>
          </w:tcPr>
          <w:p w14:paraId="00560DE0" w14:textId="51DB2D8A" w:rsidR="003D6A92" w:rsidRPr="00BC0926" w:rsidRDefault="6254ED69" w:rsidP="3FA070B9">
            <w:pPr>
              <w:spacing w:after="160" w:line="257" w:lineRule="auto"/>
              <w:rPr>
                <w:rFonts w:ascii="Arial" w:eastAsia="Arial" w:hAnsi="Arial" w:cs="Arial"/>
                <w:sz w:val="24"/>
                <w:szCs w:val="24"/>
              </w:rPr>
            </w:pPr>
            <w:r w:rsidRPr="782A0F6C">
              <w:rPr>
                <w:rFonts w:ascii="Arial" w:eastAsia="Arial" w:hAnsi="Arial" w:cs="Arial"/>
                <w:sz w:val="24"/>
                <w:szCs w:val="24"/>
              </w:rPr>
              <w:t>The Council has £10 million invested in two property funds. These property funds give a return on original investment of around 5.5%. The property funds hold a diversified portfolio of property which focuses on the areas of commercial property carrying lower risk; the funds over recent years have moved away from retail investments.</w:t>
            </w:r>
          </w:p>
          <w:p w14:paraId="47EEEA65" w14:textId="269C762A" w:rsidR="003D6A92" w:rsidRPr="00BC0926" w:rsidRDefault="6254ED69" w:rsidP="782A0F6C">
            <w:pPr>
              <w:spacing w:after="160" w:line="257" w:lineRule="auto"/>
              <w:rPr>
                <w:rFonts w:ascii="Arial" w:eastAsia="Arial" w:hAnsi="Arial" w:cs="Arial"/>
                <w:sz w:val="24"/>
                <w:szCs w:val="24"/>
              </w:rPr>
            </w:pPr>
            <w:r w:rsidRPr="782A0F6C">
              <w:rPr>
                <w:rFonts w:ascii="Arial" w:eastAsia="Arial" w:hAnsi="Arial" w:cs="Arial"/>
                <w:sz w:val="24"/>
                <w:szCs w:val="24"/>
              </w:rPr>
              <w:t>The Council’s Investment Property at latest valuation was valued at £114.178 million. Income billed in respect of this property was £10.132 million. The bad debt provision in respect of commercial property debt was increased by £2.846 million in the year giving a net amount expected to be received of £7.286 million. In percentage terms</w:t>
            </w:r>
            <w:r w:rsidR="2AB46221" w:rsidRPr="782A0F6C">
              <w:rPr>
                <w:rFonts w:ascii="Arial" w:eastAsia="Arial" w:hAnsi="Arial" w:cs="Arial"/>
                <w:sz w:val="24"/>
                <w:szCs w:val="24"/>
              </w:rPr>
              <w:t>,</w:t>
            </w:r>
            <w:r w:rsidRPr="782A0F6C">
              <w:rPr>
                <w:rFonts w:ascii="Arial" w:eastAsia="Arial" w:hAnsi="Arial" w:cs="Arial"/>
                <w:sz w:val="24"/>
                <w:szCs w:val="24"/>
              </w:rPr>
              <w:t xml:space="preserve"> this is a gross return on value of 8.87% and a net return of 6.38%. </w:t>
            </w:r>
          </w:p>
        </w:tc>
      </w:tr>
      <w:tr w:rsidR="0047740D" w:rsidRPr="00BC0926" w14:paraId="602C3912" w14:textId="77777777" w:rsidTr="782A0F6C">
        <w:tc>
          <w:tcPr>
            <w:tcW w:w="4508" w:type="dxa"/>
          </w:tcPr>
          <w:p w14:paraId="5788629C" w14:textId="79B013F7" w:rsidR="0047740D" w:rsidRDefault="0047740D" w:rsidP="001C1B9B">
            <w:pPr>
              <w:numPr>
                <w:ilvl w:val="0"/>
                <w:numId w:val="16"/>
              </w:numPr>
              <w:textAlignment w:val="center"/>
              <w:rPr>
                <w:rFonts w:ascii="Arial" w:eastAsia="Times New Roman" w:hAnsi="Arial" w:cs="Arial"/>
                <w:sz w:val="24"/>
                <w:szCs w:val="24"/>
                <w:lang w:eastAsia="en-GB"/>
              </w:rPr>
            </w:pPr>
            <w:r w:rsidRPr="782A0F6C">
              <w:rPr>
                <w:rFonts w:ascii="Arial" w:eastAsia="Times New Roman" w:hAnsi="Arial" w:cs="Arial"/>
                <w:sz w:val="24"/>
                <w:szCs w:val="24"/>
                <w:lang w:eastAsia="en-GB"/>
              </w:rPr>
              <w:t>What does the Council define as a sustainable/green deposit in terms of investment; can details be provided of the Council’s current green investments; and can a list be provided of the banks which would be acceptable for the Council to invest in, when taking all required factors (e.g. credit and ESG rating) into account – and what are the trade-offs?</w:t>
            </w:r>
          </w:p>
        </w:tc>
        <w:tc>
          <w:tcPr>
            <w:tcW w:w="4508" w:type="dxa"/>
          </w:tcPr>
          <w:p w14:paraId="0E51CF4E" w14:textId="0F44D88B" w:rsidR="0047740D" w:rsidRPr="00BC0926" w:rsidRDefault="001510D0" w:rsidP="001510D0">
            <w:pPr>
              <w:spacing w:after="240"/>
            </w:pPr>
            <w:r w:rsidRPr="001510D0">
              <w:rPr>
                <w:rFonts w:ascii="Arial" w:eastAsia="Arial" w:hAnsi="Arial" w:cs="Arial"/>
                <w:sz w:val="24"/>
                <w:szCs w:val="24"/>
              </w:rPr>
              <w:t>F</w:t>
            </w:r>
            <w:r w:rsidR="4C1F6D98" w:rsidRPr="001510D0">
              <w:rPr>
                <w:rFonts w:ascii="Arial" w:eastAsia="Arial" w:hAnsi="Arial" w:cs="Arial"/>
                <w:sz w:val="24"/>
                <w:szCs w:val="24"/>
              </w:rPr>
              <w:t>i</w:t>
            </w:r>
            <w:r w:rsidR="4C1F6D98" w:rsidRPr="1932B370">
              <w:rPr>
                <w:rFonts w:ascii="Arial" w:eastAsia="Arial" w:hAnsi="Arial" w:cs="Arial"/>
                <w:sz w:val="24"/>
                <w:szCs w:val="24"/>
              </w:rPr>
              <w:t>rstly, it is important to make it clear that the Council considers ESG</w:t>
            </w:r>
            <w:r w:rsidR="1BEE7DCC" w:rsidRPr="1932B370">
              <w:rPr>
                <w:rFonts w:ascii="Arial" w:eastAsia="Arial" w:hAnsi="Arial" w:cs="Arial"/>
                <w:sz w:val="24"/>
                <w:szCs w:val="24"/>
              </w:rPr>
              <w:t>,</w:t>
            </w:r>
            <w:r w:rsidR="4C1F6D98" w:rsidRPr="1932B370">
              <w:rPr>
                <w:rFonts w:ascii="Arial" w:eastAsia="Arial" w:hAnsi="Arial" w:cs="Arial"/>
                <w:sz w:val="24"/>
                <w:szCs w:val="24"/>
              </w:rPr>
              <w:t xml:space="preserve"> which stands for Environmental, Social and Governance factors, rather than purely green factors, alongside credit ratings.  The Council ensures that all of its investments comply with its Ethical Investment Policy (which is contained within the Council’s Treasury Management Strategy).</w:t>
            </w:r>
          </w:p>
          <w:p w14:paraId="39314407" w14:textId="158BA8C8" w:rsidR="0047740D" w:rsidRPr="00BC0926" w:rsidRDefault="0A06D4BA" w:rsidP="1932B370">
            <w:pPr>
              <w:spacing w:before="240" w:after="240"/>
            </w:pPr>
            <w:r w:rsidRPr="782A0F6C">
              <w:rPr>
                <w:rFonts w:ascii="Arial" w:eastAsia="Arial" w:hAnsi="Arial" w:cs="Arial"/>
                <w:sz w:val="24"/>
                <w:szCs w:val="24"/>
              </w:rPr>
              <w:t xml:space="preserve">The Council has invested in a sustainable deposit with Standard Chartered Bank. The sustainable deposit with Standard Chartered bank </w:t>
            </w:r>
            <w:r w:rsidRPr="782A0F6C">
              <w:rPr>
                <w:rFonts w:ascii="Arial" w:eastAsia="Arial" w:hAnsi="Arial" w:cs="Arial"/>
                <w:sz w:val="24"/>
                <w:szCs w:val="24"/>
              </w:rPr>
              <w:lastRenderedPageBreak/>
              <w:t>differs to their standard fixed term deposits as these deposits have an underlying commitment to supporting activities that provide sustainable and environmentally friendly services and products. The deposit guarantees that investment is referenced against sustainable assets, both existing and future. The investments are referenced against the United Nations Sustainable Development Goals (SDGs), so funds are put to work addressing some of the world’s biggest long</w:t>
            </w:r>
            <w:r w:rsidR="106D6B1E" w:rsidRPr="782A0F6C">
              <w:rPr>
                <w:rFonts w:ascii="Arial" w:eastAsia="Arial" w:hAnsi="Arial" w:cs="Arial"/>
                <w:sz w:val="24"/>
                <w:szCs w:val="24"/>
              </w:rPr>
              <w:t>-</w:t>
            </w:r>
            <w:r w:rsidRPr="782A0F6C">
              <w:rPr>
                <w:rFonts w:ascii="Arial" w:eastAsia="Arial" w:hAnsi="Arial" w:cs="Arial"/>
                <w:sz w:val="24"/>
                <w:szCs w:val="24"/>
              </w:rPr>
              <w:t xml:space="preserve">term threats including, but not limited to, climate change, health, financial inclusion and education. The deposits have third party verification, with the framework independently reviewed on an annual basis to ensure that the latest thinking and trends are regularly incorporated. </w:t>
            </w:r>
          </w:p>
          <w:p w14:paraId="19EBFC76" w14:textId="3744290F" w:rsidR="0047740D" w:rsidRPr="00BC0926" w:rsidRDefault="4C1F6D98" w:rsidP="1932B370">
            <w:pPr>
              <w:spacing w:before="240" w:after="240"/>
            </w:pPr>
            <w:r w:rsidRPr="1932B370">
              <w:rPr>
                <w:rFonts w:ascii="Arial" w:eastAsia="Arial" w:hAnsi="Arial" w:cs="Arial"/>
                <w:sz w:val="24"/>
                <w:szCs w:val="24"/>
              </w:rPr>
              <w:t>Through this product, investors are able to invest in activities aiming to help SDGs, without having to take direct exposure to them. With the exception of the commitment to supporting the achievement of SDGs, the product is no different from a standard fixed term deposit so the deposit is still with Standard Chartered Bank meaning that there is no change in the credit ratings of the bank and exposure is still with Standard Chartered Bank.</w:t>
            </w:r>
          </w:p>
          <w:p w14:paraId="24DEB045" w14:textId="4E722850" w:rsidR="0047740D" w:rsidRPr="00BC0926" w:rsidRDefault="4C1F6D98" w:rsidP="1932B370">
            <w:pPr>
              <w:spacing w:before="240" w:after="240"/>
            </w:pPr>
            <w:r w:rsidRPr="1932B370">
              <w:rPr>
                <w:rFonts w:ascii="Arial" w:eastAsia="Arial" w:hAnsi="Arial" w:cs="Arial"/>
                <w:sz w:val="24"/>
                <w:szCs w:val="24"/>
              </w:rPr>
              <w:t xml:space="preserve">Using the metrics from </w:t>
            </w:r>
            <w:proofErr w:type="spellStart"/>
            <w:r w:rsidRPr="1932B370">
              <w:rPr>
                <w:rFonts w:ascii="Arial" w:eastAsia="Arial" w:hAnsi="Arial" w:cs="Arial"/>
                <w:sz w:val="24"/>
                <w:szCs w:val="24"/>
              </w:rPr>
              <w:t>Sustainanalytics</w:t>
            </w:r>
            <w:proofErr w:type="spellEnd"/>
            <w:r w:rsidRPr="1932B370">
              <w:rPr>
                <w:rFonts w:ascii="Arial" w:eastAsia="Arial" w:hAnsi="Arial" w:cs="Arial"/>
                <w:sz w:val="24"/>
                <w:szCs w:val="24"/>
              </w:rPr>
              <w:t xml:space="preserve"> (because it is freely available on the internet and relatively widely used), a summary of investment durations (derived for credit ratings) and ESG ratings (where low is low risk) is as follows:</w:t>
            </w:r>
          </w:p>
          <w:p w14:paraId="108276DC" w14:textId="495455CE" w:rsidR="0047740D" w:rsidRPr="00BC0926" w:rsidRDefault="4C1F6D98" w:rsidP="1932B370">
            <w:pPr>
              <w:spacing w:before="240" w:after="240"/>
            </w:pPr>
            <w:r w:rsidRPr="1932B370">
              <w:rPr>
                <w:rFonts w:ascii="Arial" w:eastAsia="Arial" w:hAnsi="Arial" w:cs="Arial"/>
                <w:sz w:val="24"/>
                <w:szCs w:val="24"/>
              </w:rPr>
              <w:lastRenderedPageBreak/>
              <w:t xml:space="preserve"> </w:t>
            </w:r>
            <w:r>
              <w:rPr>
                <w:noProof/>
              </w:rPr>
              <w:drawing>
                <wp:inline distT="0" distB="0" distL="0" distR="0" wp14:anchorId="32B437AD" wp14:editId="70A3074D">
                  <wp:extent cx="2380833" cy="1457534"/>
                  <wp:effectExtent l="0" t="0" r="0" b="0"/>
                  <wp:docPr id="1017614637" name="Picture 1017614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80833" cy="1457534"/>
                          </a:xfrm>
                          <a:prstGeom prst="rect">
                            <a:avLst/>
                          </a:prstGeom>
                        </pic:spPr>
                      </pic:pic>
                    </a:graphicData>
                  </a:graphic>
                </wp:inline>
              </w:drawing>
            </w:r>
          </w:p>
          <w:p w14:paraId="5F0E1D1C" w14:textId="768A143B" w:rsidR="0047740D" w:rsidRPr="00BC0926" w:rsidRDefault="0A06D4BA" w:rsidP="1932B370">
            <w:pPr>
              <w:spacing w:before="240" w:after="240"/>
              <w:rPr>
                <w:rFonts w:ascii="Arial" w:eastAsia="Arial" w:hAnsi="Arial" w:cs="Arial"/>
                <w:sz w:val="24"/>
                <w:szCs w:val="24"/>
              </w:rPr>
            </w:pPr>
            <w:r w:rsidRPr="782A0F6C">
              <w:rPr>
                <w:rFonts w:ascii="Arial" w:eastAsia="Arial" w:hAnsi="Arial" w:cs="Arial"/>
                <w:sz w:val="24"/>
                <w:szCs w:val="24"/>
              </w:rPr>
              <w:t>This shows the current problems with using ESG ratings: if the Council w</w:t>
            </w:r>
            <w:r w:rsidR="6EB7235B" w:rsidRPr="782A0F6C">
              <w:rPr>
                <w:rFonts w:ascii="Arial" w:eastAsia="Arial" w:hAnsi="Arial" w:cs="Arial"/>
                <w:sz w:val="24"/>
                <w:szCs w:val="24"/>
              </w:rPr>
              <w:t xml:space="preserve">as </w:t>
            </w:r>
            <w:r w:rsidRPr="782A0F6C">
              <w:rPr>
                <w:rFonts w:ascii="Arial" w:eastAsia="Arial" w:hAnsi="Arial" w:cs="Arial"/>
                <w:sz w:val="24"/>
                <w:szCs w:val="24"/>
              </w:rPr>
              <w:t>to not invest in medium or unrated counterparties then the number of available counterparties would reduce from 19 to 4. Investing in low and medium but not in unrated would reduce the list to 13. Not all counterparties accept money all the time; it depends on their need for cash.  The list is therefore naturally restricted based on who is in the market at any one time. There is therefore a high risk that if counterparty lists were reduced, the Council would run out of counterparties to invest in (reducing diversification and hence increasing risk) or would be forced to accept lower interest rates which would have an adverse impact on the finances of the Council.</w:t>
            </w:r>
          </w:p>
          <w:p w14:paraId="263BD377" w14:textId="437661A0" w:rsidR="0047740D" w:rsidRPr="00BC0926" w:rsidRDefault="0A06D4BA" w:rsidP="1932B370">
            <w:pPr>
              <w:spacing w:before="240" w:after="240"/>
            </w:pPr>
            <w:r w:rsidRPr="782A0F6C">
              <w:rPr>
                <w:rFonts w:ascii="Arial" w:eastAsia="Arial" w:hAnsi="Arial" w:cs="Arial"/>
                <w:sz w:val="24"/>
                <w:szCs w:val="24"/>
              </w:rPr>
              <w:t>Just because a counterparty is unrated does</w:t>
            </w:r>
            <w:r w:rsidR="4BD0621B" w:rsidRPr="782A0F6C">
              <w:rPr>
                <w:rFonts w:ascii="Arial" w:eastAsia="Arial" w:hAnsi="Arial" w:cs="Arial"/>
                <w:sz w:val="24"/>
                <w:szCs w:val="24"/>
              </w:rPr>
              <w:t xml:space="preserve"> not</w:t>
            </w:r>
            <w:r w:rsidRPr="782A0F6C">
              <w:rPr>
                <w:rFonts w:ascii="Arial" w:eastAsia="Arial" w:hAnsi="Arial" w:cs="Arial"/>
                <w:sz w:val="24"/>
                <w:szCs w:val="24"/>
              </w:rPr>
              <w:t xml:space="preserve"> mean it</w:t>
            </w:r>
            <w:r w:rsidR="435729FA" w:rsidRPr="782A0F6C">
              <w:rPr>
                <w:rFonts w:ascii="Arial" w:eastAsia="Arial" w:hAnsi="Arial" w:cs="Arial"/>
                <w:sz w:val="24"/>
                <w:szCs w:val="24"/>
              </w:rPr>
              <w:t xml:space="preserve"> is</w:t>
            </w:r>
            <w:r w:rsidRPr="782A0F6C">
              <w:rPr>
                <w:rFonts w:ascii="Arial" w:eastAsia="Arial" w:hAnsi="Arial" w:cs="Arial"/>
                <w:sz w:val="24"/>
                <w:szCs w:val="24"/>
              </w:rPr>
              <w:t xml:space="preserve"> bad (note that the UK and Local Authorities are unrated), it just means that they haven’t paid for a rating to be included. Given that there are other providers of ESG ratings, not all counterparties will pay for a rating on the same list. To complicate matters, ESG ratings from different agencies do not look at the same factors in the same way and so there is no comparability between different lists. Currently the Financial Conduct Authority is undertaking a consultation on ESG rating/data providers which it is hoped will start to push some consistency between rating agencies which would be a good first step towards being able to use ESG ratings to inform decisions.</w:t>
            </w:r>
          </w:p>
        </w:tc>
      </w:tr>
    </w:tbl>
    <w:p w14:paraId="57CE4322" w14:textId="713563D3" w:rsidR="001C1B9B" w:rsidRPr="00BC0926" w:rsidRDefault="001C1B9B" w:rsidP="782A0F6C">
      <w:pPr>
        <w:rPr>
          <w:rFonts w:ascii="Arial" w:hAnsi="Arial" w:cs="Arial"/>
          <w:sz w:val="24"/>
          <w:szCs w:val="24"/>
          <w:u w:val="single"/>
        </w:rPr>
      </w:pPr>
    </w:p>
    <w:sectPr w:rsidR="001C1B9B" w:rsidRPr="00BC0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E8E"/>
    <w:multiLevelType w:val="hybridMultilevel"/>
    <w:tmpl w:val="3F74C8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2D0A79"/>
    <w:multiLevelType w:val="hybridMultilevel"/>
    <w:tmpl w:val="E050DB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D3A76"/>
    <w:multiLevelType w:val="hybridMultilevel"/>
    <w:tmpl w:val="68F886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E15C0"/>
    <w:multiLevelType w:val="hybridMultilevel"/>
    <w:tmpl w:val="146835CA"/>
    <w:lvl w:ilvl="0" w:tplc="FDCC1048">
      <w:start w:val="1"/>
      <w:numFmt w:val="lowerLetter"/>
      <w:lvlText w:val="%1."/>
      <w:lvlJc w:val="left"/>
      <w:pPr>
        <w:ind w:left="720" w:hanging="360"/>
      </w:pPr>
    </w:lvl>
    <w:lvl w:ilvl="1" w:tplc="158E5B70">
      <w:start w:val="1"/>
      <w:numFmt w:val="lowerLetter"/>
      <w:lvlText w:val="%2."/>
      <w:lvlJc w:val="left"/>
      <w:pPr>
        <w:ind w:left="1440" w:hanging="360"/>
      </w:pPr>
    </w:lvl>
    <w:lvl w:ilvl="2" w:tplc="675E215C">
      <w:start w:val="1"/>
      <w:numFmt w:val="lowerRoman"/>
      <w:lvlText w:val="%3."/>
      <w:lvlJc w:val="right"/>
      <w:pPr>
        <w:ind w:left="2160" w:hanging="180"/>
      </w:pPr>
    </w:lvl>
    <w:lvl w:ilvl="3" w:tplc="0CE88850">
      <w:start w:val="1"/>
      <w:numFmt w:val="decimal"/>
      <w:lvlText w:val="%4."/>
      <w:lvlJc w:val="left"/>
      <w:pPr>
        <w:ind w:left="2880" w:hanging="360"/>
      </w:pPr>
    </w:lvl>
    <w:lvl w:ilvl="4" w:tplc="EDD0F0FE">
      <w:start w:val="1"/>
      <w:numFmt w:val="lowerLetter"/>
      <w:lvlText w:val="%5."/>
      <w:lvlJc w:val="left"/>
      <w:pPr>
        <w:ind w:left="3600" w:hanging="360"/>
      </w:pPr>
    </w:lvl>
    <w:lvl w:ilvl="5" w:tplc="E180A066">
      <w:start w:val="1"/>
      <w:numFmt w:val="lowerRoman"/>
      <w:lvlText w:val="%6."/>
      <w:lvlJc w:val="right"/>
      <w:pPr>
        <w:ind w:left="4320" w:hanging="180"/>
      </w:pPr>
    </w:lvl>
    <w:lvl w:ilvl="6" w:tplc="0B8E9172">
      <w:start w:val="1"/>
      <w:numFmt w:val="decimal"/>
      <w:lvlText w:val="%7."/>
      <w:lvlJc w:val="left"/>
      <w:pPr>
        <w:ind w:left="5040" w:hanging="360"/>
      </w:pPr>
    </w:lvl>
    <w:lvl w:ilvl="7" w:tplc="68948B8E">
      <w:start w:val="1"/>
      <w:numFmt w:val="lowerLetter"/>
      <w:lvlText w:val="%8."/>
      <w:lvlJc w:val="left"/>
      <w:pPr>
        <w:ind w:left="5760" w:hanging="360"/>
      </w:pPr>
    </w:lvl>
    <w:lvl w:ilvl="8" w:tplc="4BF8D5F2">
      <w:start w:val="1"/>
      <w:numFmt w:val="lowerRoman"/>
      <w:lvlText w:val="%9."/>
      <w:lvlJc w:val="right"/>
      <w:pPr>
        <w:ind w:left="6480" w:hanging="180"/>
      </w:pPr>
    </w:lvl>
  </w:abstractNum>
  <w:abstractNum w:abstractNumId="4" w15:restartNumberingAfterBreak="0">
    <w:nsid w:val="2DBD5DEE"/>
    <w:multiLevelType w:val="hybridMultilevel"/>
    <w:tmpl w:val="BEAEB1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B624E"/>
    <w:multiLevelType w:val="multilevel"/>
    <w:tmpl w:val="39445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545B4D"/>
    <w:multiLevelType w:val="hybridMultilevel"/>
    <w:tmpl w:val="125E16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7A6522"/>
    <w:multiLevelType w:val="hybridMultilevel"/>
    <w:tmpl w:val="1D0E1816"/>
    <w:lvl w:ilvl="0" w:tplc="75F232B0">
      <w:start w:val="1"/>
      <w:numFmt w:val="upperLetter"/>
      <w:lvlText w:val="%1)"/>
      <w:lvlJc w:val="left"/>
      <w:pPr>
        <w:ind w:left="720" w:hanging="360"/>
      </w:pPr>
    </w:lvl>
    <w:lvl w:ilvl="1" w:tplc="0D8C1448">
      <w:start w:val="1"/>
      <w:numFmt w:val="lowerLetter"/>
      <w:lvlText w:val="%2."/>
      <w:lvlJc w:val="left"/>
      <w:pPr>
        <w:ind w:left="1440" w:hanging="360"/>
      </w:pPr>
    </w:lvl>
    <w:lvl w:ilvl="2" w:tplc="5C221920">
      <w:start w:val="1"/>
      <w:numFmt w:val="lowerRoman"/>
      <w:lvlText w:val="%3."/>
      <w:lvlJc w:val="right"/>
      <w:pPr>
        <w:ind w:left="2160" w:hanging="180"/>
      </w:pPr>
    </w:lvl>
    <w:lvl w:ilvl="3" w:tplc="5746A8A2">
      <w:start w:val="1"/>
      <w:numFmt w:val="decimal"/>
      <w:lvlText w:val="%4."/>
      <w:lvlJc w:val="left"/>
      <w:pPr>
        <w:ind w:left="2880" w:hanging="360"/>
      </w:pPr>
    </w:lvl>
    <w:lvl w:ilvl="4" w:tplc="DE2493D6">
      <w:start w:val="1"/>
      <w:numFmt w:val="lowerLetter"/>
      <w:lvlText w:val="%5."/>
      <w:lvlJc w:val="left"/>
      <w:pPr>
        <w:ind w:left="3600" w:hanging="360"/>
      </w:pPr>
    </w:lvl>
    <w:lvl w:ilvl="5" w:tplc="11E01950">
      <w:start w:val="1"/>
      <w:numFmt w:val="lowerRoman"/>
      <w:lvlText w:val="%6."/>
      <w:lvlJc w:val="right"/>
      <w:pPr>
        <w:ind w:left="4320" w:hanging="180"/>
      </w:pPr>
    </w:lvl>
    <w:lvl w:ilvl="6" w:tplc="9A0EA70A">
      <w:start w:val="1"/>
      <w:numFmt w:val="decimal"/>
      <w:lvlText w:val="%7."/>
      <w:lvlJc w:val="left"/>
      <w:pPr>
        <w:ind w:left="5040" w:hanging="360"/>
      </w:pPr>
    </w:lvl>
    <w:lvl w:ilvl="7" w:tplc="BBECD9F2">
      <w:start w:val="1"/>
      <w:numFmt w:val="lowerLetter"/>
      <w:lvlText w:val="%8."/>
      <w:lvlJc w:val="left"/>
      <w:pPr>
        <w:ind w:left="5760" w:hanging="360"/>
      </w:pPr>
    </w:lvl>
    <w:lvl w:ilvl="8" w:tplc="B57E5272">
      <w:start w:val="1"/>
      <w:numFmt w:val="lowerRoman"/>
      <w:lvlText w:val="%9."/>
      <w:lvlJc w:val="right"/>
      <w:pPr>
        <w:ind w:left="6480" w:hanging="180"/>
      </w:pPr>
    </w:lvl>
  </w:abstractNum>
  <w:abstractNum w:abstractNumId="8" w15:restartNumberingAfterBreak="0">
    <w:nsid w:val="3C181881"/>
    <w:multiLevelType w:val="hybridMultilevel"/>
    <w:tmpl w:val="6B12F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3E37D5"/>
    <w:multiLevelType w:val="hybridMultilevel"/>
    <w:tmpl w:val="8FBC95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D84926"/>
    <w:multiLevelType w:val="multilevel"/>
    <w:tmpl w:val="FB3A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7E47C3"/>
    <w:multiLevelType w:val="hybridMultilevel"/>
    <w:tmpl w:val="5DD646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342842"/>
    <w:multiLevelType w:val="hybridMultilevel"/>
    <w:tmpl w:val="CA06DBCA"/>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926154"/>
    <w:multiLevelType w:val="hybridMultilevel"/>
    <w:tmpl w:val="3216E6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6A9EFF"/>
    <w:multiLevelType w:val="hybridMultilevel"/>
    <w:tmpl w:val="F26A4BCA"/>
    <w:lvl w:ilvl="0" w:tplc="E9421848">
      <w:start w:val="1"/>
      <w:numFmt w:val="lowerLetter"/>
      <w:lvlText w:val="%1)"/>
      <w:lvlJc w:val="left"/>
      <w:pPr>
        <w:ind w:left="720" w:hanging="360"/>
      </w:pPr>
    </w:lvl>
    <w:lvl w:ilvl="1" w:tplc="E4262270">
      <w:start w:val="1"/>
      <w:numFmt w:val="lowerLetter"/>
      <w:lvlText w:val="%2."/>
      <w:lvlJc w:val="left"/>
      <w:pPr>
        <w:ind w:left="1440" w:hanging="360"/>
      </w:pPr>
    </w:lvl>
    <w:lvl w:ilvl="2" w:tplc="8BC6B7A2">
      <w:start w:val="1"/>
      <w:numFmt w:val="lowerRoman"/>
      <w:lvlText w:val="%3."/>
      <w:lvlJc w:val="right"/>
      <w:pPr>
        <w:ind w:left="2160" w:hanging="180"/>
      </w:pPr>
    </w:lvl>
    <w:lvl w:ilvl="3" w:tplc="5D283B3E">
      <w:start w:val="1"/>
      <w:numFmt w:val="decimal"/>
      <w:lvlText w:val="%4."/>
      <w:lvlJc w:val="left"/>
      <w:pPr>
        <w:ind w:left="2880" w:hanging="360"/>
      </w:pPr>
    </w:lvl>
    <w:lvl w:ilvl="4" w:tplc="373EAF9C">
      <w:start w:val="1"/>
      <w:numFmt w:val="lowerLetter"/>
      <w:lvlText w:val="%5."/>
      <w:lvlJc w:val="left"/>
      <w:pPr>
        <w:ind w:left="3600" w:hanging="360"/>
      </w:pPr>
    </w:lvl>
    <w:lvl w:ilvl="5" w:tplc="893A1142">
      <w:start w:val="1"/>
      <w:numFmt w:val="lowerRoman"/>
      <w:lvlText w:val="%6."/>
      <w:lvlJc w:val="right"/>
      <w:pPr>
        <w:ind w:left="4320" w:hanging="180"/>
      </w:pPr>
    </w:lvl>
    <w:lvl w:ilvl="6" w:tplc="8A705FA0">
      <w:start w:val="1"/>
      <w:numFmt w:val="decimal"/>
      <w:lvlText w:val="%7."/>
      <w:lvlJc w:val="left"/>
      <w:pPr>
        <w:ind w:left="5040" w:hanging="360"/>
      </w:pPr>
    </w:lvl>
    <w:lvl w:ilvl="7" w:tplc="0CCE9A8C">
      <w:start w:val="1"/>
      <w:numFmt w:val="lowerLetter"/>
      <w:lvlText w:val="%8."/>
      <w:lvlJc w:val="left"/>
      <w:pPr>
        <w:ind w:left="5760" w:hanging="360"/>
      </w:pPr>
    </w:lvl>
    <w:lvl w:ilvl="8" w:tplc="55F0433A">
      <w:start w:val="1"/>
      <w:numFmt w:val="lowerRoman"/>
      <w:lvlText w:val="%9."/>
      <w:lvlJc w:val="right"/>
      <w:pPr>
        <w:ind w:left="6480" w:hanging="180"/>
      </w:pPr>
    </w:lvl>
  </w:abstractNum>
  <w:abstractNum w:abstractNumId="15" w15:restartNumberingAfterBreak="0">
    <w:nsid w:val="713B78C3"/>
    <w:multiLevelType w:val="hybridMultilevel"/>
    <w:tmpl w:val="67DA92DE"/>
    <w:lvl w:ilvl="0" w:tplc="F2984562">
      <w:start w:val="1"/>
      <w:numFmt w:val="lowerLetter"/>
      <w:lvlText w:val="%1)"/>
      <w:lvlJc w:val="left"/>
      <w:pPr>
        <w:ind w:left="720" w:hanging="360"/>
      </w:pPr>
    </w:lvl>
    <w:lvl w:ilvl="1" w:tplc="26DC12C0">
      <w:start w:val="1"/>
      <w:numFmt w:val="lowerLetter"/>
      <w:lvlText w:val="%2."/>
      <w:lvlJc w:val="left"/>
      <w:pPr>
        <w:ind w:left="1440" w:hanging="360"/>
      </w:pPr>
    </w:lvl>
    <w:lvl w:ilvl="2" w:tplc="9E20B614">
      <w:start w:val="1"/>
      <w:numFmt w:val="lowerRoman"/>
      <w:lvlText w:val="%3."/>
      <w:lvlJc w:val="right"/>
      <w:pPr>
        <w:ind w:left="2160" w:hanging="180"/>
      </w:pPr>
    </w:lvl>
    <w:lvl w:ilvl="3" w:tplc="AE1AACCE">
      <w:start w:val="1"/>
      <w:numFmt w:val="decimal"/>
      <w:lvlText w:val="%4."/>
      <w:lvlJc w:val="left"/>
      <w:pPr>
        <w:ind w:left="2880" w:hanging="360"/>
      </w:pPr>
    </w:lvl>
    <w:lvl w:ilvl="4" w:tplc="0BB4719A">
      <w:start w:val="1"/>
      <w:numFmt w:val="lowerLetter"/>
      <w:lvlText w:val="%5."/>
      <w:lvlJc w:val="left"/>
      <w:pPr>
        <w:ind w:left="3600" w:hanging="360"/>
      </w:pPr>
    </w:lvl>
    <w:lvl w:ilvl="5" w:tplc="BBC044D0">
      <w:start w:val="1"/>
      <w:numFmt w:val="lowerRoman"/>
      <w:lvlText w:val="%6."/>
      <w:lvlJc w:val="right"/>
      <w:pPr>
        <w:ind w:left="4320" w:hanging="180"/>
      </w:pPr>
    </w:lvl>
    <w:lvl w:ilvl="6" w:tplc="4FEEADB8">
      <w:start w:val="1"/>
      <w:numFmt w:val="decimal"/>
      <w:lvlText w:val="%7."/>
      <w:lvlJc w:val="left"/>
      <w:pPr>
        <w:ind w:left="5040" w:hanging="360"/>
      </w:pPr>
    </w:lvl>
    <w:lvl w:ilvl="7" w:tplc="18F4C5F4">
      <w:start w:val="1"/>
      <w:numFmt w:val="lowerLetter"/>
      <w:lvlText w:val="%8."/>
      <w:lvlJc w:val="left"/>
      <w:pPr>
        <w:ind w:left="5760" w:hanging="360"/>
      </w:pPr>
    </w:lvl>
    <w:lvl w:ilvl="8" w:tplc="D82CC4C4">
      <w:start w:val="1"/>
      <w:numFmt w:val="lowerRoman"/>
      <w:lvlText w:val="%9."/>
      <w:lvlJc w:val="right"/>
      <w:pPr>
        <w:ind w:left="6480" w:hanging="180"/>
      </w:pPr>
    </w:lvl>
  </w:abstractNum>
  <w:abstractNum w:abstractNumId="16" w15:restartNumberingAfterBreak="0">
    <w:nsid w:val="72174EDE"/>
    <w:multiLevelType w:val="hybridMultilevel"/>
    <w:tmpl w:val="A97A2E84"/>
    <w:lvl w:ilvl="0" w:tplc="FFF4C112">
      <w:start w:val="1"/>
      <w:numFmt w:val="bullet"/>
      <w:lvlText w:val=""/>
      <w:lvlJc w:val="left"/>
      <w:pPr>
        <w:ind w:left="720" w:hanging="360"/>
      </w:pPr>
      <w:rPr>
        <w:rFonts w:ascii="Symbol" w:hAnsi="Symbol" w:hint="default"/>
      </w:rPr>
    </w:lvl>
    <w:lvl w:ilvl="1" w:tplc="8A44BECE">
      <w:start w:val="1"/>
      <w:numFmt w:val="bullet"/>
      <w:lvlText w:val="o"/>
      <w:lvlJc w:val="left"/>
      <w:pPr>
        <w:ind w:left="1440" w:hanging="360"/>
      </w:pPr>
      <w:rPr>
        <w:rFonts w:ascii="Courier New" w:hAnsi="Courier New" w:hint="default"/>
      </w:rPr>
    </w:lvl>
    <w:lvl w:ilvl="2" w:tplc="99A26320">
      <w:start w:val="1"/>
      <w:numFmt w:val="bullet"/>
      <w:lvlText w:val=""/>
      <w:lvlJc w:val="left"/>
      <w:pPr>
        <w:ind w:left="2160" w:hanging="360"/>
      </w:pPr>
      <w:rPr>
        <w:rFonts w:ascii="Wingdings" w:hAnsi="Wingdings" w:hint="default"/>
      </w:rPr>
    </w:lvl>
    <w:lvl w:ilvl="3" w:tplc="37B2EF68">
      <w:start w:val="1"/>
      <w:numFmt w:val="bullet"/>
      <w:lvlText w:val=""/>
      <w:lvlJc w:val="left"/>
      <w:pPr>
        <w:ind w:left="2880" w:hanging="360"/>
      </w:pPr>
      <w:rPr>
        <w:rFonts w:ascii="Symbol" w:hAnsi="Symbol" w:hint="default"/>
      </w:rPr>
    </w:lvl>
    <w:lvl w:ilvl="4" w:tplc="E746165A">
      <w:start w:val="1"/>
      <w:numFmt w:val="bullet"/>
      <w:lvlText w:val="o"/>
      <w:lvlJc w:val="left"/>
      <w:pPr>
        <w:ind w:left="3600" w:hanging="360"/>
      </w:pPr>
      <w:rPr>
        <w:rFonts w:ascii="Courier New" w:hAnsi="Courier New" w:hint="default"/>
      </w:rPr>
    </w:lvl>
    <w:lvl w:ilvl="5" w:tplc="F1A00EE6">
      <w:start w:val="1"/>
      <w:numFmt w:val="bullet"/>
      <w:lvlText w:val=""/>
      <w:lvlJc w:val="left"/>
      <w:pPr>
        <w:ind w:left="4320" w:hanging="360"/>
      </w:pPr>
      <w:rPr>
        <w:rFonts w:ascii="Wingdings" w:hAnsi="Wingdings" w:hint="default"/>
      </w:rPr>
    </w:lvl>
    <w:lvl w:ilvl="6" w:tplc="E76E2D2E">
      <w:start w:val="1"/>
      <w:numFmt w:val="bullet"/>
      <w:lvlText w:val=""/>
      <w:lvlJc w:val="left"/>
      <w:pPr>
        <w:ind w:left="5040" w:hanging="360"/>
      </w:pPr>
      <w:rPr>
        <w:rFonts w:ascii="Symbol" w:hAnsi="Symbol" w:hint="default"/>
      </w:rPr>
    </w:lvl>
    <w:lvl w:ilvl="7" w:tplc="9D1A8DF2">
      <w:start w:val="1"/>
      <w:numFmt w:val="bullet"/>
      <w:lvlText w:val="o"/>
      <w:lvlJc w:val="left"/>
      <w:pPr>
        <w:ind w:left="5760" w:hanging="360"/>
      </w:pPr>
      <w:rPr>
        <w:rFonts w:ascii="Courier New" w:hAnsi="Courier New" w:hint="default"/>
      </w:rPr>
    </w:lvl>
    <w:lvl w:ilvl="8" w:tplc="1B1676FC">
      <w:start w:val="1"/>
      <w:numFmt w:val="bullet"/>
      <w:lvlText w:val=""/>
      <w:lvlJc w:val="left"/>
      <w:pPr>
        <w:ind w:left="6480" w:hanging="360"/>
      </w:pPr>
      <w:rPr>
        <w:rFonts w:ascii="Wingdings" w:hAnsi="Wingdings" w:hint="default"/>
      </w:rPr>
    </w:lvl>
  </w:abstractNum>
  <w:abstractNum w:abstractNumId="17" w15:restartNumberingAfterBreak="0">
    <w:nsid w:val="780004F7"/>
    <w:multiLevelType w:val="hybridMultilevel"/>
    <w:tmpl w:val="E89A0ED4"/>
    <w:lvl w:ilvl="0" w:tplc="497A3CD0">
      <w:start w:val="1"/>
      <w:numFmt w:val="lowerLetter"/>
      <w:lvlText w:val="%1."/>
      <w:lvlJc w:val="left"/>
      <w:pPr>
        <w:ind w:left="720" w:hanging="360"/>
      </w:pPr>
    </w:lvl>
    <w:lvl w:ilvl="1" w:tplc="5360F7D0">
      <w:start w:val="1"/>
      <w:numFmt w:val="lowerLetter"/>
      <w:lvlText w:val="%2."/>
      <w:lvlJc w:val="left"/>
      <w:pPr>
        <w:ind w:left="1440" w:hanging="360"/>
      </w:pPr>
    </w:lvl>
    <w:lvl w:ilvl="2" w:tplc="7AD234A6">
      <w:start w:val="1"/>
      <w:numFmt w:val="lowerRoman"/>
      <w:lvlText w:val="%3."/>
      <w:lvlJc w:val="right"/>
      <w:pPr>
        <w:ind w:left="2160" w:hanging="180"/>
      </w:pPr>
    </w:lvl>
    <w:lvl w:ilvl="3" w:tplc="33548574">
      <w:start w:val="1"/>
      <w:numFmt w:val="decimal"/>
      <w:lvlText w:val="%4."/>
      <w:lvlJc w:val="left"/>
      <w:pPr>
        <w:ind w:left="2880" w:hanging="360"/>
      </w:pPr>
    </w:lvl>
    <w:lvl w:ilvl="4" w:tplc="37181592">
      <w:start w:val="1"/>
      <w:numFmt w:val="lowerLetter"/>
      <w:lvlText w:val="%5."/>
      <w:lvlJc w:val="left"/>
      <w:pPr>
        <w:ind w:left="3600" w:hanging="360"/>
      </w:pPr>
    </w:lvl>
    <w:lvl w:ilvl="5" w:tplc="CA965B44">
      <w:start w:val="1"/>
      <w:numFmt w:val="lowerRoman"/>
      <w:lvlText w:val="%6."/>
      <w:lvlJc w:val="right"/>
      <w:pPr>
        <w:ind w:left="4320" w:hanging="180"/>
      </w:pPr>
    </w:lvl>
    <w:lvl w:ilvl="6" w:tplc="9E50F886">
      <w:start w:val="1"/>
      <w:numFmt w:val="decimal"/>
      <w:lvlText w:val="%7."/>
      <w:lvlJc w:val="left"/>
      <w:pPr>
        <w:ind w:left="5040" w:hanging="360"/>
      </w:pPr>
    </w:lvl>
    <w:lvl w:ilvl="7" w:tplc="DA381394">
      <w:start w:val="1"/>
      <w:numFmt w:val="lowerLetter"/>
      <w:lvlText w:val="%8."/>
      <w:lvlJc w:val="left"/>
      <w:pPr>
        <w:ind w:left="5760" w:hanging="360"/>
      </w:pPr>
    </w:lvl>
    <w:lvl w:ilvl="8" w:tplc="54362EF8">
      <w:start w:val="1"/>
      <w:numFmt w:val="lowerRoman"/>
      <w:lvlText w:val="%9."/>
      <w:lvlJc w:val="right"/>
      <w:pPr>
        <w:ind w:left="6480" w:hanging="180"/>
      </w:pPr>
    </w:lvl>
  </w:abstractNum>
  <w:abstractNum w:abstractNumId="18" w15:restartNumberingAfterBreak="0">
    <w:nsid w:val="7C0B1061"/>
    <w:multiLevelType w:val="hybridMultilevel"/>
    <w:tmpl w:val="9490F1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3603552">
    <w:abstractNumId w:val="16"/>
  </w:num>
  <w:num w:numId="2" w16cid:durableId="1894732530">
    <w:abstractNumId w:val="17"/>
  </w:num>
  <w:num w:numId="3" w16cid:durableId="1144857247">
    <w:abstractNumId w:val="3"/>
  </w:num>
  <w:num w:numId="4" w16cid:durableId="1335377077">
    <w:abstractNumId w:val="14"/>
  </w:num>
  <w:num w:numId="5" w16cid:durableId="1522204972">
    <w:abstractNumId w:val="15"/>
  </w:num>
  <w:num w:numId="6" w16cid:durableId="1309630021">
    <w:abstractNumId w:val="7"/>
  </w:num>
  <w:num w:numId="7" w16cid:durableId="2036730750">
    <w:abstractNumId w:val="0"/>
  </w:num>
  <w:num w:numId="8" w16cid:durableId="1098915602">
    <w:abstractNumId w:val="11"/>
  </w:num>
  <w:num w:numId="9" w16cid:durableId="396831199">
    <w:abstractNumId w:val="13"/>
  </w:num>
  <w:num w:numId="10" w16cid:durableId="446849218">
    <w:abstractNumId w:val="2"/>
  </w:num>
  <w:num w:numId="11" w16cid:durableId="1669678090">
    <w:abstractNumId w:val="6"/>
  </w:num>
  <w:num w:numId="12" w16cid:durableId="422457015">
    <w:abstractNumId w:val="1"/>
  </w:num>
  <w:num w:numId="13" w16cid:durableId="955256324">
    <w:abstractNumId w:val="4"/>
  </w:num>
  <w:num w:numId="14" w16cid:durableId="688261234">
    <w:abstractNumId w:val="8"/>
  </w:num>
  <w:num w:numId="15" w16cid:durableId="1727996329">
    <w:abstractNumId w:val="5"/>
  </w:num>
  <w:num w:numId="16" w16cid:durableId="457913275">
    <w:abstractNumId w:val="9"/>
  </w:num>
  <w:num w:numId="17" w16cid:durableId="1231694616">
    <w:abstractNumId w:val="10"/>
  </w:num>
  <w:num w:numId="18" w16cid:durableId="1775206093">
    <w:abstractNumId w:val="18"/>
  </w:num>
  <w:num w:numId="19" w16cid:durableId="12932491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01"/>
    <w:rsid w:val="00145A8F"/>
    <w:rsid w:val="001510D0"/>
    <w:rsid w:val="001A6603"/>
    <w:rsid w:val="001C1B9B"/>
    <w:rsid w:val="001C73C3"/>
    <w:rsid w:val="002430C7"/>
    <w:rsid w:val="002A0333"/>
    <w:rsid w:val="003D6A92"/>
    <w:rsid w:val="0047740D"/>
    <w:rsid w:val="0065575A"/>
    <w:rsid w:val="00885BB5"/>
    <w:rsid w:val="009056CE"/>
    <w:rsid w:val="00A33FAA"/>
    <w:rsid w:val="00A82BC6"/>
    <w:rsid w:val="00B756D4"/>
    <w:rsid w:val="00BC0926"/>
    <w:rsid w:val="00C97718"/>
    <w:rsid w:val="00DA7BE9"/>
    <w:rsid w:val="00EC7905"/>
    <w:rsid w:val="00EE0597"/>
    <w:rsid w:val="00F545E4"/>
    <w:rsid w:val="00F67241"/>
    <w:rsid w:val="00F863EC"/>
    <w:rsid w:val="00F93601"/>
    <w:rsid w:val="00FF12B5"/>
    <w:rsid w:val="010E2AA7"/>
    <w:rsid w:val="016A35DB"/>
    <w:rsid w:val="016E0532"/>
    <w:rsid w:val="0205D32D"/>
    <w:rsid w:val="0231F0F3"/>
    <w:rsid w:val="0243A574"/>
    <w:rsid w:val="026E5EC4"/>
    <w:rsid w:val="02952A6B"/>
    <w:rsid w:val="02A53AAD"/>
    <w:rsid w:val="032E659F"/>
    <w:rsid w:val="033BE2CB"/>
    <w:rsid w:val="03EB7F3C"/>
    <w:rsid w:val="042F27D9"/>
    <w:rsid w:val="04A1D69D"/>
    <w:rsid w:val="04AABAA7"/>
    <w:rsid w:val="04E473EA"/>
    <w:rsid w:val="04E79EFE"/>
    <w:rsid w:val="04EB501C"/>
    <w:rsid w:val="05B38415"/>
    <w:rsid w:val="05F0E0DD"/>
    <w:rsid w:val="06102A8D"/>
    <w:rsid w:val="06AC6B79"/>
    <w:rsid w:val="06D94450"/>
    <w:rsid w:val="072889D1"/>
    <w:rsid w:val="072A5D04"/>
    <w:rsid w:val="07A47DA2"/>
    <w:rsid w:val="07B682C2"/>
    <w:rsid w:val="07BE0EC3"/>
    <w:rsid w:val="07D4D604"/>
    <w:rsid w:val="07D9775F"/>
    <w:rsid w:val="07F62B91"/>
    <w:rsid w:val="082B788A"/>
    <w:rsid w:val="087514B1"/>
    <w:rsid w:val="090F0E76"/>
    <w:rsid w:val="09250C85"/>
    <w:rsid w:val="09404E03"/>
    <w:rsid w:val="0995C116"/>
    <w:rsid w:val="09AE72C8"/>
    <w:rsid w:val="0A06D4BA"/>
    <w:rsid w:val="0A526604"/>
    <w:rsid w:val="0AA02745"/>
    <w:rsid w:val="0AE39BB0"/>
    <w:rsid w:val="0B251BA8"/>
    <w:rsid w:val="0B84CBF8"/>
    <w:rsid w:val="0BAD2F12"/>
    <w:rsid w:val="0C1D2E90"/>
    <w:rsid w:val="0C70717C"/>
    <w:rsid w:val="0C77EEC5"/>
    <w:rsid w:val="0C7F6C11"/>
    <w:rsid w:val="0C9C608A"/>
    <w:rsid w:val="0CDEA5DC"/>
    <w:rsid w:val="0D0EA4B6"/>
    <w:rsid w:val="0D0FED94"/>
    <w:rsid w:val="0D65C780"/>
    <w:rsid w:val="0DB396E6"/>
    <w:rsid w:val="0DE93E2F"/>
    <w:rsid w:val="0DFF2EF8"/>
    <w:rsid w:val="0E0AEFE2"/>
    <w:rsid w:val="0E13BF26"/>
    <w:rsid w:val="0E1B3C72"/>
    <w:rsid w:val="0E7B7D3F"/>
    <w:rsid w:val="0ED57C6F"/>
    <w:rsid w:val="0F991B85"/>
    <w:rsid w:val="104B8844"/>
    <w:rsid w:val="104FB4A3"/>
    <w:rsid w:val="106D6B1E"/>
    <w:rsid w:val="106F852D"/>
    <w:rsid w:val="10BE4FC5"/>
    <w:rsid w:val="10DBD80C"/>
    <w:rsid w:val="1147AD5C"/>
    <w:rsid w:val="118BB20C"/>
    <w:rsid w:val="11A2A6DC"/>
    <w:rsid w:val="11AE05DA"/>
    <w:rsid w:val="11FDE178"/>
    <w:rsid w:val="12189FE4"/>
    <w:rsid w:val="123C8618"/>
    <w:rsid w:val="1246A027"/>
    <w:rsid w:val="126E1850"/>
    <w:rsid w:val="12C2F06F"/>
    <w:rsid w:val="1305EA40"/>
    <w:rsid w:val="13176B64"/>
    <w:rsid w:val="1323A0BB"/>
    <w:rsid w:val="132793B1"/>
    <w:rsid w:val="136E3020"/>
    <w:rsid w:val="137F877D"/>
    <w:rsid w:val="1384ECD1"/>
    <w:rsid w:val="13C619B9"/>
    <w:rsid w:val="1441E7A9"/>
    <w:rsid w:val="14587FB3"/>
    <w:rsid w:val="147321CC"/>
    <w:rsid w:val="148D4B15"/>
    <w:rsid w:val="14BDD687"/>
    <w:rsid w:val="14EE4D80"/>
    <w:rsid w:val="14F39050"/>
    <w:rsid w:val="155307A3"/>
    <w:rsid w:val="1561EA1A"/>
    <w:rsid w:val="1565188C"/>
    <w:rsid w:val="1567BC12"/>
    <w:rsid w:val="158BF401"/>
    <w:rsid w:val="15C410D6"/>
    <w:rsid w:val="15F2394D"/>
    <w:rsid w:val="16309E7E"/>
    <w:rsid w:val="16404FB2"/>
    <w:rsid w:val="165C1EE8"/>
    <w:rsid w:val="1668E981"/>
    <w:rsid w:val="16786768"/>
    <w:rsid w:val="16961BD6"/>
    <w:rsid w:val="16F81D46"/>
    <w:rsid w:val="17A85FDE"/>
    <w:rsid w:val="17AAC28E"/>
    <w:rsid w:val="17DC2013"/>
    <w:rsid w:val="17FB04D4"/>
    <w:rsid w:val="1804B9E2"/>
    <w:rsid w:val="1812268C"/>
    <w:rsid w:val="187B0CEE"/>
    <w:rsid w:val="1881D2DB"/>
    <w:rsid w:val="18B08EC0"/>
    <w:rsid w:val="18B130BF"/>
    <w:rsid w:val="18C0697F"/>
    <w:rsid w:val="19041B6B"/>
    <w:rsid w:val="192BF0D6"/>
    <w:rsid w:val="1932B370"/>
    <w:rsid w:val="1940B8A7"/>
    <w:rsid w:val="194B0945"/>
    <w:rsid w:val="197AFC18"/>
    <w:rsid w:val="19DB494E"/>
    <w:rsid w:val="19F51544"/>
    <w:rsid w:val="1A9663AB"/>
    <w:rsid w:val="1AE78CC9"/>
    <w:rsid w:val="1AFA2FB4"/>
    <w:rsid w:val="1B2F2971"/>
    <w:rsid w:val="1BCFC53E"/>
    <w:rsid w:val="1BEE7DCC"/>
    <w:rsid w:val="1BFA3626"/>
    <w:rsid w:val="1C5771CA"/>
    <w:rsid w:val="1CEE450B"/>
    <w:rsid w:val="1D2CB606"/>
    <w:rsid w:val="1D34020C"/>
    <w:rsid w:val="1D79B3FE"/>
    <w:rsid w:val="1D7AB245"/>
    <w:rsid w:val="1DBA5B14"/>
    <w:rsid w:val="1E0BD92B"/>
    <w:rsid w:val="1E30AB9B"/>
    <w:rsid w:val="1E7B0B33"/>
    <w:rsid w:val="1E7F955D"/>
    <w:rsid w:val="1E8AD32C"/>
    <w:rsid w:val="1EC88667"/>
    <w:rsid w:val="1EE51524"/>
    <w:rsid w:val="1EFE5743"/>
    <w:rsid w:val="1F14396F"/>
    <w:rsid w:val="1F5E18FB"/>
    <w:rsid w:val="1FC6238E"/>
    <w:rsid w:val="205A95E5"/>
    <w:rsid w:val="205BFA06"/>
    <w:rsid w:val="20A14739"/>
    <w:rsid w:val="20A7CB33"/>
    <w:rsid w:val="20F9E95C"/>
    <w:rsid w:val="20FCFA0F"/>
    <w:rsid w:val="2119C1AF"/>
    <w:rsid w:val="211DDA5E"/>
    <w:rsid w:val="21830259"/>
    <w:rsid w:val="21A51B0B"/>
    <w:rsid w:val="21E8D5D0"/>
    <w:rsid w:val="21EECE73"/>
    <w:rsid w:val="221C5FEF"/>
    <w:rsid w:val="224B7F8C"/>
    <w:rsid w:val="228DCC37"/>
    <w:rsid w:val="228E66C0"/>
    <w:rsid w:val="230FAD25"/>
    <w:rsid w:val="231ED2BA"/>
    <w:rsid w:val="232A31B0"/>
    <w:rsid w:val="24340A24"/>
    <w:rsid w:val="243FACC2"/>
    <w:rsid w:val="24B0733E"/>
    <w:rsid w:val="24CEA9C4"/>
    <w:rsid w:val="2537C7EB"/>
    <w:rsid w:val="259EEC87"/>
    <w:rsid w:val="25C56CF9"/>
    <w:rsid w:val="2672D107"/>
    <w:rsid w:val="26C154BF"/>
    <w:rsid w:val="2714B2DF"/>
    <w:rsid w:val="271BC645"/>
    <w:rsid w:val="275299A8"/>
    <w:rsid w:val="27692AE0"/>
    <w:rsid w:val="2784F7FD"/>
    <w:rsid w:val="278E4AD2"/>
    <w:rsid w:val="279CC497"/>
    <w:rsid w:val="27A3215A"/>
    <w:rsid w:val="27D79E3F"/>
    <w:rsid w:val="27F66699"/>
    <w:rsid w:val="28509F97"/>
    <w:rsid w:val="2873EFE3"/>
    <w:rsid w:val="29131DE5"/>
    <w:rsid w:val="291D5602"/>
    <w:rsid w:val="2953DD77"/>
    <w:rsid w:val="29B7763B"/>
    <w:rsid w:val="29BA36F7"/>
    <w:rsid w:val="2A1CAF36"/>
    <w:rsid w:val="2A2E665D"/>
    <w:rsid w:val="2A5C002F"/>
    <w:rsid w:val="2AB46221"/>
    <w:rsid w:val="2B2A2580"/>
    <w:rsid w:val="2B3B1C79"/>
    <w:rsid w:val="2BAE1006"/>
    <w:rsid w:val="2BF26B60"/>
    <w:rsid w:val="2C1111CD"/>
    <w:rsid w:val="2C3C9C03"/>
    <w:rsid w:val="2C8842AD"/>
    <w:rsid w:val="2CA5FEDC"/>
    <w:rsid w:val="2CFA041A"/>
    <w:rsid w:val="2CFE2A87"/>
    <w:rsid w:val="2D236EAA"/>
    <w:rsid w:val="2D309C90"/>
    <w:rsid w:val="2D49E067"/>
    <w:rsid w:val="2D6A97BE"/>
    <w:rsid w:val="2DA04F96"/>
    <w:rsid w:val="2E73808E"/>
    <w:rsid w:val="2E8857A8"/>
    <w:rsid w:val="2E9541C6"/>
    <w:rsid w:val="2EE5B0C8"/>
    <w:rsid w:val="2EEB04F1"/>
    <w:rsid w:val="2FBD40DE"/>
    <w:rsid w:val="308BF0BA"/>
    <w:rsid w:val="30B9E2FC"/>
    <w:rsid w:val="30C5DC83"/>
    <w:rsid w:val="3110080E"/>
    <w:rsid w:val="31568DC7"/>
    <w:rsid w:val="31A51F6F"/>
    <w:rsid w:val="326A2C52"/>
    <w:rsid w:val="32ABD86F"/>
    <w:rsid w:val="32E44640"/>
    <w:rsid w:val="332AC6A7"/>
    <w:rsid w:val="33655EF5"/>
    <w:rsid w:val="33B84AF2"/>
    <w:rsid w:val="33C6D723"/>
    <w:rsid w:val="341B9EF0"/>
    <w:rsid w:val="342C7868"/>
    <w:rsid w:val="3447ADE8"/>
    <w:rsid w:val="346E7108"/>
    <w:rsid w:val="347F27AB"/>
    <w:rsid w:val="34DE1EFA"/>
    <w:rsid w:val="3541C536"/>
    <w:rsid w:val="35692711"/>
    <w:rsid w:val="3590AB7F"/>
    <w:rsid w:val="359A7BDD"/>
    <w:rsid w:val="35A11DB7"/>
    <w:rsid w:val="35A59B8A"/>
    <w:rsid w:val="35E37931"/>
    <w:rsid w:val="36070DE0"/>
    <w:rsid w:val="3650A936"/>
    <w:rsid w:val="367A4130"/>
    <w:rsid w:val="36C733A4"/>
    <w:rsid w:val="37A5AAAD"/>
    <w:rsid w:val="37E889A2"/>
    <w:rsid w:val="3838745A"/>
    <w:rsid w:val="3851E452"/>
    <w:rsid w:val="3866EF1B"/>
    <w:rsid w:val="38C9711C"/>
    <w:rsid w:val="38CF535E"/>
    <w:rsid w:val="38DB8576"/>
    <w:rsid w:val="39A567AB"/>
    <w:rsid w:val="39DB34F1"/>
    <w:rsid w:val="39E7AA08"/>
    <w:rsid w:val="3A78DC41"/>
    <w:rsid w:val="3ACCFF96"/>
    <w:rsid w:val="3AE7B5FE"/>
    <w:rsid w:val="3AFCDB1D"/>
    <w:rsid w:val="3B35E972"/>
    <w:rsid w:val="3B49F3AD"/>
    <w:rsid w:val="3B87FFCC"/>
    <w:rsid w:val="3BB7B578"/>
    <w:rsid w:val="3BC3B78B"/>
    <w:rsid w:val="3BE26966"/>
    <w:rsid w:val="3C107322"/>
    <w:rsid w:val="3C2E48E3"/>
    <w:rsid w:val="3C717CEB"/>
    <w:rsid w:val="3CC902FF"/>
    <w:rsid w:val="3CD0CCEC"/>
    <w:rsid w:val="3D2D5A63"/>
    <w:rsid w:val="3D3A3484"/>
    <w:rsid w:val="3D931B26"/>
    <w:rsid w:val="3D9CE23F"/>
    <w:rsid w:val="3E5ACDBB"/>
    <w:rsid w:val="3E81946F"/>
    <w:rsid w:val="3EC2678B"/>
    <w:rsid w:val="3EE0FBF8"/>
    <w:rsid w:val="3EEE4AB6"/>
    <w:rsid w:val="3EEFE630"/>
    <w:rsid w:val="3F38B2A0"/>
    <w:rsid w:val="3FA070B9"/>
    <w:rsid w:val="4001CB24"/>
    <w:rsid w:val="40373BD0"/>
    <w:rsid w:val="40E0D25D"/>
    <w:rsid w:val="412E3546"/>
    <w:rsid w:val="41A61BCD"/>
    <w:rsid w:val="41B93531"/>
    <w:rsid w:val="421BA1D8"/>
    <w:rsid w:val="422A4DEF"/>
    <w:rsid w:val="42498FB0"/>
    <w:rsid w:val="42576082"/>
    <w:rsid w:val="42BAE6E6"/>
    <w:rsid w:val="42D7696D"/>
    <w:rsid w:val="435729FA"/>
    <w:rsid w:val="439C9BE7"/>
    <w:rsid w:val="43EF1685"/>
    <w:rsid w:val="44025CAA"/>
    <w:rsid w:val="441A604A"/>
    <w:rsid w:val="44755D60"/>
    <w:rsid w:val="44894C16"/>
    <w:rsid w:val="44BF6B45"/>
    <w:rsid w:val="44F8C379"/>
    <w:rsid w:val="44FF3567"/>
    <w:rsid w:val="450F8706"/>
    <w:rsid w:val="45405D6C"/>
    <w:rsid w:val="457857C5"/>
    <w:rsid w:val="45B06109"/>
    <w:rsid w:val="45CD646F"/>
    <w:rsid w:val="46260E9B"/>
    <w:rsid w:val="468DE452"/>
    <w:rsid w:val="470107DD"/>
    <w:rsid w:val="474A8D30"/>
    <w:rsid w:val="47B18EC1"/>
    <w:rsid w:val="481843DE"/>
    <w:rsid w:val="4825DC67"/>
    <w:rsid w:val="482BF3F2"/>
    <w:rsid w:val="4830643B"/>
    <w:rsid w:val="483D69BA"/>
    <w:rsid w:val="48E65D91"/>
    <w:rsid w:val="49092BAB"/>
    <w:rsid w:val="493C71F9"/>
    <w:rsid w:val="495407D1"/>
    <w:rsid w:val="495823D1"/>
    <w:rsid w:val="49CC485A"/>
    <w:rsid w:val="4A0BDD6B"/>
    <w:rsid w:val="4AF35222"/>
    <w:rsid w:val="4AF58251"/>
    <w:rsid w:val="4B7B9ED4"/>
    <w:rsid w:val="4BA6F3D0"/>
    <w:rsid w:val="4BD0621B"/>
    <w:rsid w:val="4BD38C54"/>
    <w:rsid w:val="4C0D6E8F"/>
    <w:rsid w:val="4C1F6D98"/>
    <w:rsid w:val="4CE6BC02"/>
    <w:rsid w:val="4CFC1BA7"/>
    <w:rsid w:val="4D06F2B4"/>
    <w:rsid w:val="4D13B4C4"/>
    <w:rsid w:val="4D75F960"/>
    <w:rsid w:val="4DDA4114"/>
    <w:rsid w:val="4E112877"/>
    <w:rsid w:val="4E7B17FC"/>
    <w:rsid w:val="4E97309B"/>
    <w:rsid w:val="4EFFE68C"/>
    <w:rsid w:val="4F05014C"/>
    <w:rsid w:val="4F3C76B8"/>
    <w:rsid w:val="4F450F51"/>
    <w:rsid w:val="4F59C2A5"/>
    <w:rsid w:val="4FEC928D"/>
    <w:rsid w:val="5030973D"/>
    <w:rsid w:val="504EE8B9"/>
    <w:rsid w:val="50912F19"/>
    <w:rsid w:val="51C188A9"/>
    <w:rsid w:val="520D8A34"/>
    <w:rsid w:val="5243FCC8"/>
    <w:rsid w:val="52C40490"/>
    <w:rsid w:val="52FD7184"/>
    <w:rsid w:val="53449667"/>
    <w:rsid w:val="53999754"/>
    <w:rsid w:val="53EF6534"/>
    <w:rsid w:val="5401946F"/>
    <w:rsid w:val="541605C9"/>
    <w:rsid w:val="547ADE8B"/>
    <w:rsid w:val="54A7C2A7"/>
    <w:rsid w:val="55010419"/>
    <w:rsid w:val="558A5991"/>
    <w:rsid w:val="55E61C71"/>
    <w:rsid w:val="580D3976"/>
    <w:rsid w:val="58468805"/>
    <w:rsid w:val="585A2449"/>
    <w:rsid w:val="5893FE42"/>
    <w:rsid w:val="595C6AB4"/>
    <w:rsid w:val="596E1088"/>
    <w:rsid w:val="59E25866"/>
    <w:rsid w:val="5A75E0E4"/>
    <w:rsid w:val="5AC01C63"/>
    <w:rsid w:val="5AD3777D"/>
    <w:rsid w:val="5B5A7896"/>
    <w:rsid w:val="5B759CCD"/>
    <w:rsid w:val="5BD76A02"/>
    <w:rsid w:val="5C09E02F"/>
    <w:rsid w:val="5C5C8203"/>
    <w:rsid w:val="5C8FF6CD"/>
    <w:rsid w:val="5C9086B3"/>
    <w:rsid w:val="5CA3DF75"/>
    <w:rsid w:val="5CF8152A"/>
    <w:rsid w:val="5D1CBACC"/>
    <w:rsid w:val="5D1DC0B9"/>
    <w:rsid w:val="5D2FB85D"/>
    <w:rsid w:val="5DE6DD78"/>
    <w:rsid w:val="5DEC8A8D"/>
    <w:rsid w:val="5DF85264"/>
    <w:rsid w:val="5E865966"/>
    <w:rsid w:val="5E97A912"/>
    <w:rsid w:val="5EC63322"/>
    <w:rsid w:val="5ED150E6"/>
    <w:rsid w:val="5ED9592A"/>
    <w:rsid w:val="5EE0ABAC"/>
    <w:rsid w:val="5F6BFF9F"/>
    <w:rsid w:val="5F85DC4B"/>
    <w:rsid w:val="5FCBAC38"/>
    <w:rsid w:val="5FD00CEE"/>
    <w:rsid w:val="5FD7B163"/>
    <w:rsid w:val="5FE9354B"/>
    <w:rsid w:val="6050A933"/>
    <w:rsid w:val="605199EA"/>
    <w:rsid w:val="609B6975"/>
    <w:rsid w:val="60E457E9"/>
    <w:rsid w:val="6100004C"/>
    <w:rsid w:val="61144528"/>
    <w:rsid w:val="611872AD"/>
    <w:rsid w:val="613FCE57"/>
    <w:rsid w:val="61C9BA1A"/>
    <w:rsid w:val="6254ED69"/>
    <w:rsid w:val="62663F54"/>
    <w:rsid w:val="629AC163"/>
    <w:rsid w:val="62C804E1"/>
    <w:rsid w:val="63060A05"/>
    <w:rsid w:val="6306DED0"/>
    <w:rsid w:val="630F9B36"/>
    <w:rsid w:val="633DB629"/>
    <w:rsid w:val="633DF1D4"/>
    <w:rsid w:val="636756AE"/>
    <w:rsid w:val="639B82E2"/>
    <w:rsid w:val="63A1D3CF"/>
    <w:rsid w:val="63A4C209"/>
    <w:rsid w:val="63E0A74C"/>
    <w:rsid w:val="63EFF00F"/>
    <w:rsid w:val="640109FA"/>
    <w:rsid w:val="646AC7F3"/>
    <w:rsid w:val="646B6143"/>
    <w:rsid w:val="649529FE"/>
    <w:rsid w:val="649F1D5B"/>
    <w:rsid w:val="64A54AF7"/>
    <w:rsid w:val="64AB6B97"/>
    <w:rsid w:val="64C12458"/>
    <w:rsid w:val="64EC7631"/>
    <w:rsid w:val="657F8745"/>
    <w:rsid w:val="65844382"/>
    <w:rsid w:val="6592E04E"/>
    <w:rsid w:val="65BD146D"/>
    <w:rsid w:val="65E8FCB5"/>
    <w:rsid w:val="65FFA5A3"/>
    <w:rsid w:val="660731A4"/>
    <w:rsid w:val="66234BBC"/>
    <w:rsid w:val="663065E8"/>
    <w:rsid w:val="66555E9C"/>
    <w:rsid w:val="6665C3C4"/>
    <w:rsid w:val="669F77BC"/>
    <w:rsid w:val="66B73F97"/>
    <w:rsid w:val="6771D034"/>
    <w:rsid w:val="67E4EE16"/>
    <w:rsid w:val="68777F1D"/>
    <w:rsid w:val="68A320D8"/>
    <w:rsid w:val="68EB0334"/>
    <w:rsid w:val="6900E560"/>
    <w:rsid w:val="6905E6FA"/>
    <w:rsid w:val="691639BA"/>
    <w:rsid w:val="697EDCBA"/>
    <w:rsid w:val="69A99056"/>
    <w:rsid w:val="69E49D7D"/>
    <w:rsid w:val="69EC371A"/>
    <w:rsid w:val="6A428080"/>
    <w:rsid w:val="6A4D2914"/>
    <w:rsid w:val="6AA5D348"/>
    <w:rsid w:val="6AB9EE69"/>
    <w:rsid w:val="6ADAA2C7"/>
    <w:rsid w:val="6B23F68B"/>
    <w:rsid w:val="6B594036"/>
    <w:rsid w:val="6B752DA2"/>
    <w:rsid w:val="6BA3ADC2"/>
    <w:rsid w:val="6BFBABC1"/>
    <w:rsid w:val="6C1260CE"/>
    <w:rsid w:val="6C21CE97"/>
    <w:rsid w:val="6D84C9D6"/>
    <w:rsid w:val="6E455CAD"/>
    <w:rsid w:val="6E566E2D"/>
    <w:rsid w:val="6E668556"/>
    <w:rsid w:val="6EB7235B"/>
    <w:rsid w:val="6EB80EA0"/>
    <w:rsid w:val="6F062ED8"/>
    <w:rsid w:val="6F1DF519"/>
    <w:rsid w:val="6F209A37"/>
    <w:rsid w:val="6F38DBBE"/>
    <w:rsid w:val="6F8CEB44"/>
    <w:rsid w:val="6FD40B98"/>
    <w:rsid w:val="6FEE1E3E"/>
    <w:rsid w:val="70074183"/>
    <w:rsid w:val="700EE2D5"/>
    <w:rsid w:val="704A90B5"/>
    <w:rsid w:val="705E0EDE"/>
    <w:rsid w:val="70886F15"/>
    <w:rsid w:val="70A7505B"/>
    <w:rsid w:val="70CBF829"/>
    <w:rsid w:val="70F51974"/>
    <w:rsid w:val="711018FC"/>
    <w:rsid w:val="7130C021"/>
    <w:rsid w:val="714DCC18"/>
    <w:rsid w:val="71F5BD74"/>
    <w:rsid w:val="720EC9E2"/>
    <w:rsid w:val="7277040F"/>
    <w:rsid w:val="7277E7BE"/>
    <w:rsid w:val="7297BCD0"/>
    <w:rsid w:val="72B9E1FD"/>
    <w:rsid w:val="73206D09"/>
    <w:rsid w:val="73298DA1"/>
    <w:rsid w:val="734C8A5E"/>
    <w:rsid w:val="738B7FC3"/>
    <w:rsid w:val="7399B4B3"/>
    <w:rsid w:val="73F40B5A"/>
    <w:rsid w:val="745C5676"/>
    <w:rsid w:val="747F081C"/>
    <w:rsid w:val="74A816CE"/>
    <w:rsid w:val="74BEEAE4"/>
    <w:rsid w:val="756C654E"/>
    <w:rsid w:val="758FDBBB"/>
    <w:rsid w:val="7594F2F5"/>
    <w:rsid w:val="76113801"/>
    <w:rsid w:val="7615C96D"/>
    <w:rsid w:val="7615F29A"/>
    <w:rsid w:val="767627CE"/>
    <w:rsid w:val="7695D73F"/>
    <w:rsid w:val="76B217C4"/>
    <w:rsid w:val="76CD5062"/>
    <w:rsid w:val="771C38E0"/>
    <w:rsid w:val="776228AE"/>
    <w:rsid w:val="77753635"/>
    <w:rsid w:val="77C8DF20"/>
    <w:rsid w:val="782A0F6C"/>
    <w:rsid w:val="783584EB"/>
    <w:rsid w:val="785EF0E6"/>
    <w:rsid w:val="787FAA81"/>
    <w:rsid w:val="788FF30A"/>
    <w:rsid w:val="78CEC913"/>
    <w:rsid w:val="78E72942"/>
    <w:rsid w:val="7900C57B"/>
    <w:rsid w:val="790BC8B0"/>
    <w:rsid w:val="79116C9F"/>
    <w:rsid w:val="793441D2"/>
    <w:rsid w:val="79732C31"/>
    <w:rsid w:val="7A5E68BD"/>
    <w:rsid w:val="7A62AACE"/>
    <w:rsid w:val="7A938C1C"/>
    <w:rsid w:val="7AAC994C"/>
    <w:rsid w:val="7ACEB33A"/>
    <w:rsid w:val="7ACF6BEC"/>
    <w:rsid w:val="7ADF8BBA"/>
    <w:rsid w:val="7AFEAA76"/>
    <w:rsid w:val="7BFF1D3F"/>
    <w:rsid w:val="7C25EB64"/>
    <w:rsid w:val="7C2E9406"/>
    <w:rsid w:val="7C479BE6"/>
    <w:rsid w:val="7C629203"/>
    <w:rsid w:val="7CA553B1"/>
    <w:rsid w:val="7CE2B170"/>
    <w:rsid w:val="7D1ED259"/>
    <w:rsid w:val="7D30CF19"/>
    <w:rsid w:val="7DC4E2CF"/>
    <w:rsid w:val="7DD22617"/>
    <w:rsid w:val="7E02DE5B"/>
    <w:rsid w:val="7E172C7C"/>
    <w:rsid w:val="7E36B88D"/>
    <w:rsid w:val="7E7CEDCD"/>
    <w:rsid w:val="7EF1B5DA"/>
    <w:rsid w:val="7F36BE01"/>
    <w:rsid w:val="7F453679"/>
    <w:rsid w:val="7F51A555"/>
    <w:rsid w:val="7FA38356"/>
    <w:rsid w:val="7FC1A574"/>
    <w:rsid w:val="7FD80BD2"/>
    <w:rsid w:val="7FF46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B79F"/>
  <w15:chartTrackingRefBased/>
  <w15:docId w15:val="{261C8DC3-FD94-4298-89F5-B193C534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601"/>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1076</Words>
  <Characters>6137</Characters>
  <Application>Microsoft Office Word</Application>
  <DocSecurity>0</DocSecurity>
  <Lines>51</Lines>
  <Paragraphs>14</Paragraphs>
  <ScaleCrop>false</ScaleCrop>
  <Company>Oxford City Council</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Alice</dc:creator>
  <cp:keywords/>
  <dc:description/>
  <cp:lastModifiedBy>COURTNEY Alice</cp:lastModifiedBy>
  <cp:revision>26</cp:revision>
  <dcterms:created xsi:type="dcterms:W3CDTF">2023-09-07T09:09:00Z</dcterms:created>
  <dcterms:modified xsi:type="dcterms:W3CDTF">2023-10-27T15:48:00Z</dcterms:modified>
</cp:coreProperties>
</file>